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093" w:rsidRPr="00716035" w:rsidRDefault="00E52DA2" w:rsidP="00716035">
      <w:pPr>
        <w:spacing w:after="0" w:line="240" w:lineRule="auto"/>
        <w:jc w:val="center"/>
        <w:rPr>
          <w:rFonts w:ascii="Cambria" w:hAnsi="Cambria"/>
          <w:b/>
          <w:bCs/>
          <w:caps/>
        </w:rPr>
      </w:pPr>
      <w:r w:rsidRPr="00716035">
        <w:rPr>
          <w:rFonts w:ascii="Cambria" w:hAnsi="Cambria"/>
          <w:b/>
          <w:bCs/>
          <w:lang w:eastAsia="bg-BG"/>
        </w:rPr>
        <w:t>Отчет по к</w:t>
      </w:r>
      <w:r w:rsidR="00230093" w:rsidRPr="00716035">
        <w:rPr>
          <w:rFonts w:ascii="Cambria" w:hAnsi="Cambria"/>
          <w:b/>
          <w:bCs/>
          <w:lang w:eastAsia="bg-BG"/>
        </w:rPr>
        <w:t>лючови индикатори за изпълнение на политиките и целеви стойности за</w:t>
      </w:r>
      <w:r w:rsidR="00BF28B6">
        <w:rPr>
          <w:rFonts w:ascii="Cambria" w:hAnsi="Cambria"/>
          <w:b/>
          <w:bCs/>
          <w:lang w:eastAsia="bg-BG"/>
        </w:rPr>
        <w:t xml:space="preserve"> 2020</w:t>
      </w:r>
      <w:r w:rsidRPr="00716035">
        <w:rPr>
          <w:rFonts w:ascii="Cambria" w:hAnsi="Cambria"/>
          <w:b/>
          <w:bCs/>
          <w:lang w:eastAsia="bg-BG"/>
        </w:rPr>
        <w:t xml:space="preserve"> г. </w:t>
      </w:r>
      <w:r w:rsidR="00230093" w:rsidRPr="00716035">
        <w:rPr>
          <w:rFonts w:ascii="Cambria" w:hAnsi="Cambria"/>
          <w:b/>
          <w:bCs/>
        </w:rPr>
        <w:t xml:space="preserve">на </w:t>
      </w:r>
      <w:r w:rsidR="00A32220" w:rsidRPr="00716035">
        <w:rPr>
          <w:rFonts w:ascii="Cambria" w:hAnsi="Cambria"/>
          <w:b/>
          <w:bCs/>
        </w:rPr>
        <w:t>Министерството на външните работи</w:t>
      </w:r>
    </w:p>
    <w:p w:rsidR="00230093" w:rsidRPr="00716035" w:rsidRDefault="00230093" w:rsidP="00716035">
      <w:pPr>
        <w:spacing w:after="0" w:line="240" w:lineRule="auto"/>
        <w:jc w:val="center"/>
        <w:rPr>
          <w:rFonts w:ascii="Cambria" w:hAnsi="Cambria"/>
          <w:b/>
          <w:bCs/>
          <w:caps/>
        </w:rPr>
      </w:pPr>
    </w:p>
    <w:p w:rsidR="00230093" w:rsidRPr="00716035" w:rsidRDefault="00230093" w:rsidP="00716035">
      <w:pPr>
        <w:spacing w:after="0" w:line="240" w:lineRule="auto"/>
        <w:ind w:firstLine="708"/>
        <w:jc w:val="both"/>
        <w:rPr>
          <w:rFonts w:ascii="Cambria" w:hAnsi="Cambria" w:cs="Times New Roman"/>
        </w:rPr>
      </w:pPr>
    </w:p>
    <w:p w:rsidR="00A32220" w:rsidRDefault="00A32220" w:rsidP="00716035">
      <w:pPr>
        <w:spacing w:after="0" w:line="240" w:lineRule="auto"/>
        <w:ind w:firstLine="708"/>
        <w:jc w:val="both"/>
        <w:rPr>
          <w:rFonts w:ascii="Cambria" w:hAnsi="Cambria" w:cs="Times New Roman"/>
          <w:color w:val="000000"/>
        </w:rPr>
      </w:pPr>
      <w:r w:rsidRPr="00716035">
        <w:rPr>
          <w:rFonts w:ascii="Cambria" w:hAnsi="Cambria" w:cs="Times New Roman"/>
          <w:color w:val="000000"/>
        </w:rPr>
        <w:t xml:space="preserve">За </w:t>
      </w:r>
      <w:r w:rsidRPr="00716035">
        <w:rPr>
          <w:rFonts w:ascii="Cambria" w:hAnsi="Cambria" w:cs="Times New Roman"/>
        </w:rPr>
        <w:t>целите</w:t>
      </w:r>
      <w:r w:rsidRPr="00716035">
        <w:rPr>
          <w:rFonts w:ascii="Cambria" w:hAnsi="Cambria" w:cs="Times New Roman"/>
          <w:color w:val="000000"/>
        </w:rPr>
        <w:t xml:space="preserve"> на програмното бюджетиране и предвид административното </w:t>
      </w:r>
      <w:r w:rsidR="000A0E83" w:rsidRPr="00716035">
        <w:rPr>
          <w:rFonts w:ascii="Cambria" w:hAnsi="Cambria" w:cs="Times New Roman"/>
          <w:color w:val="000000"/>
        </w:rPr>
        <w:t xml:space="preserve">и </w:t>
      </w:r>
      <w:r w:rsidRPr="00716035">
        <w:rPr>
          <w:rFonts w:ascii="Cambria" w:hAnsi="Cambria" w:cs="Times New Roman"/>
          <w:color w:val="000000"/>
        </w:rPr>
        <w:t>функционалното разпределение в дейността на М</w:t>
      </w:r>
      <w:r w:rsidR="00DA7D34" w:rsidRPr="00716035">
        <w:rPr>
          <w:rFonts w:ascii="Cambria" w:hAnsi="Cambria" w:cs="Times New Roman"/>
          <w:color w:val="000000"/>
        </w:rPr>
        <w:t>инистерството на външните работи</w:t>
      </w:r>
      <w:r w:rsidRPr="00716035">
        <w:rPr>
          <w:rFonts w:ascii="Cambria" w:hAnsi="Cambria" w:cs="Times New Roman"/>
          <w:color w:val="000000"/>
        </w:rPr>
        <w:t xml:space="preserve">, </w:t>
      </w:r>
      <w:r w:rsidR="00DA7D34" w:rsidRPr="00716035">
        <w:rPr>
          <w:rFonts w:ascii="Cambria" w:hAnsi="Cambria" w:cs="Times New Roman"/>
          <w:color w:val="000000"/>
        </w:rPr>
        <w:t xml:space="preserve">с оглед </w:t>
      </w:r>
      <w:r w:rsidRPr="00716035">
        <w:rPr>
          <w:rFonts w:ascii="Cambria" w:hAnsi="Cambria" w:cs="Times New Roman"/>
          <w:color w:val="000000"/>
        </w:rPr>
        <w:t xml:space="preserve">отчетност </w:t>
      </w:r>
      <w:r w:rsidR="00DA7D34" w:rsidRPr="00716035">
        <w:rPr>
          <w:rFonts w:ascii="Cambria" w:hAnsi="Cambria" w:cs="Times New Roman"/>
          <w:color w:val="000000"/>
        </w:rPr>
        <w:t xml:space="preserve">и ефективност </w:t>
      </w:r>
      <w:r w:rsidRPr="00716035">
        <w:rPr>
          <w:rFonts w:ascii="Cambria" w:hAnsi="Cambria" w:cs="Times New Roman"/>
          <w:color w:val="000000"/>
        </w:rPr>
        <w:t xml:space="preserve">са формулирани три политики - </w:t>
      </w:r>
      <w:r w:rsidRPr="00716035">
        <w:rPr>
          <w:rFonts w:ascii="Cambria" w:hAnsi="Cambria" w:cs="Times New Roman"/>
          <w:i/>
          <w:color w:val="000000"/>
        </w:rPr>
        <w:t>„Развитие на ефективна дипломатическа служба”</w:t>
      </w:r>
      <w:r w:rsidRPr="00716035">
        <w:rPr>
          <w:rFonts w:ascii="Cambria" w:hAnsi="Cambria" w:cs="Times New Roman"/>
          <w:color w:val="000000"/>
        </w:rPr>
        <w:t>, „</w:t>
      </w:r>
      <w:r w:rsidRPr="00716035">
        <w:rPr>
          <w:rFonts w:ascii="Cambria" w:hAnsi="Cambria" w:cs="Times New Roman"/>
          <w:i/>
          <w:color w:val="000000"/>
        </w:rPr>
        <w:t>Публична дипломация”</w:t>
      </w:r>
      <w:r w:rsidRPr="00716035">
        <w:rPr>
          <w:rFonts w:ascii="Cambria" w:hAnsi="Cambria" w:cs="Times New Roman"/>
          <w:color w:val="000000"/>
        </w:rPr>
        <w:t xml:space="preserve">, </w:t>
      </w:r>
      <w:r w:rsidRPr="00716035">
        <w:rPr>
          <w:rFonts w:ascii="Cambria" w:hAnsi="Cambria" w:cs="Times New Roman"/>
          <w:i/>
          <w:color w:val="000000"/>
        </w:rPr>
        <w:t>„Активна двустранна и многостранна дипломация”</w:t>
      </w:r>
      <w:r w:rsidRPr="00716035">
        <w:rPr>
          <w:rFonts w:ascii="Cambria" w:hAnsi="Cambria" w:cs="Times New Roman"/>
          <w:color w:val="000000"/>
        </w:rPr>
        <w:t xml:space="preserve"> и </w:t>
      </w:r>
      <w:r w:rsidRPr="00716035">
        <w:rPr>
          <w:rFonts w:ascii="Cambria" w:hAnsi="Cambria" w:cs="Times New Roman"/>
          <w:i/>
          <w:color w:val="000000"/>
        </w:rPr>
        <w:t>единадесет програми</w:t>
      </w:r>
      <w:r w:rsidRPr="00716035">
        <w:rPr>
          <w:rFonts w:ascii="Cambria" w:hAnsi="Cambria" w:cs="Times New Roman"/>
          <w:color w:val="000000"/>
        </w:rPr>
        <w:t xml:space="preserve">, в рамките на които се систематизират разнородните задачи на дипломатическата служба в изпълнение на </w:t>
      </w:r>
      <w:r w:rsidR="00DA7D34" w:rsidRPr="00716035">
        <w:rPr>
          <w:rFonts w:ascii="Cambria" w:hAnsi="Cambria" w:cs="Times New Roman"/>
          <w:color w:val="000000"/>
        </w:rPr>
        <w:t xml:space="preserve">приоритети, </w:t>
      </w:r>
      <w:r w:rsidRPr="00716035">
        <w:rPr>
          <w:rFonts w:ascii="Cambria" w:hAnsi="Cambria" w:cs="Times New Roman"/>
          <w:color w:val="000000"/>
        </w:rPr>
        <w:t xml:space="preserve">целите </w:t>
      </w:r>
      <w:r w:rsidR="00DA7D34" w:rsidRPr="00716035">
        <w:rPr>
          <w:rFonts w:ascii="Cambria" w:hAnsi="Cambria" w:cs="Times New Roman"/>
          <w:color w:val="000000"/>
        </w:rPr>
        <w:t>и</w:t>
      </w:r>
      <w:r w:rsidRPr="00716035">
        <w:rPr>
          <w:rFonts w:ascii="Cambria" w:hAnsi="Cambria" w:cs="Times New Roman"/>
          <w:color w:val="000000"/>
        </w:rPr>
        <w:t xml:space="preserve"> мерките, разпис</w:t>
      </w:r>
      <w:r w:rsidR="00DA7D34" w:rsidRPr="00716035">
        <w:rPr>
          <w:rFonts w:ascii="Cambria" w:hAnsi="Cambria" w:cs="Times New Roman"/>
          <w:color w:val="000000"/>
        </w:rPr>
        <w:t xml:space="preserve">ани в </w:t>
      </w:r>
      <w:r w:rsidR="00C131A1" w:rsidRPr="00716035">
        <w:rPr>
          <w:rFonts w:ascii="Cambria" w:hAnsi="Cambria" w:cs="Times New Roman"/>
          <w:color w:val="000000"/>
        </w:rPr>
        <w:t>Програмата за управление на правителството на Република България (2017-2021) за</w:t>
      </w:r>
      <w:r w:rsidR="00DA7D34" w:rsidRPr="00716035">
        <w:rPr>
          <w:rFonts w:ascii="Cambria" w:hAnsi="Cambria" w:cs="Times New Roman"/>
          <w:color w:val="000000"/>
        </w:rPr>
        <w:t xml:space="preserve"> политика „Външна политика“</w:t>
      </w:r>
      <w:r w:rsidR="0013362F" w:rsidRPr="00716035">
        <w:rPr>
          <w:rFonts w:ascii="Cambria" w:hAnsi="Cambria" w:cs="Times New Roman"/>
          <w:color w:val="000000"/>
        </w:rPr>
        <w:t xml:space="preserve">. </w:t>
      </w:r>
    </w:p>
    <w:p w:rsidR="00C57C51" w:rsidRDefault="00C57C51" w:rsidP="00716035">
      <w:pPr>
        <w:spacing w:after="0" w:line="240" w:lineRule="auto"/>
        <w:ind w:firstLine="708"/>
        <w:jc w:val="both"/>
        <w:rPr>
          <w:rFonts w:ascii="Cambria" w:hAnsi="Cambria" w:cs="Times New Roman"/>
          <w:color w:val="000000"/>
        </w:rPr>
      </w:pPr>
    </w:p>
    <w:p w:rsidR="00C57C51" w:rsidRPr="00092FF7" w:rsidRDefault="00C57C51" w:rsidP="00716035">
      <w:pPr>
        <w:spacing w:after="0" w:line="240" w:lineRule="auto"/>
        <w:ind w:firstLine="708"/>
        <w:jc w:val="both"/>
        <w:rPr>
          <w:rFonts w:ascii="Cambria" w:hAnsi="Cambria" w:cs="Times New Roman"/>
          <w:color w:val="000000"/>
        </w:rPr>
      </w:pPr>
    </w:p>
    <w:p w:rsidR="00C57C51" w:rsidRPr="00C57C51" w:rsidRDefault="00C57C51" w:rsidP="00C57C51">
      <w:pPr>
        <w:numPr>
          <w:ilvl w:val="0"/>
          <w:numId w:val="3"/>
        </w:numPr>
        <w:spacing w:after="0" w:line="240" w:lineRule="auto"/>
        <w:jc w:val="both"/>
        <w:rPr>
          <w:rFonts w:ascii="Cambria" w:hAnsi="Cambria" w:cs="Times New Roman"/>
          <w:b/>
          <w:i/>
        </w:rPr>
      </w:pPr>
      <w:r w:rsidRPr="00C57C51">
        <w:rPr>
          <w:rFonts w:ascii="Cambria" w:hAnsi="Cambria" w:cs="Times New Roman"/>
          <w:b/>
          <w:i/>
        </w:rPr>
        <w:t>Отговорност за разпределението на публичните разходи за политиката</w:t>
      </w:r>
    </w:p>
    <w:p w:rsidR="00191852" w:rsidRDefault="00191852" w:rsidP="00716035">
      <w:pPr>
        <w:spacing w:after="0" w:line="240" w:lineRule="auto"/>
        <w:jc w:val="both"/>
        <w:rPr>
          <w:rFonts w:ascii="Cambria" w:hAnsi="Cambria" w:cs="Times New Roman"/>
          <w:b/>
          <w:i/>
        </w:rPr>
      </w:pPr>
    </w:p>
    <w:tbl>
      <w:tblPr>
        <w:tblW w:w="11012" w:type="dxa"/>
        <w:tblInd w:w="-8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275"/>
        <w:gridCol w:w="1015"/>
        <w:gridCol w:w="1022"/>
        <w:gridCol w:w="1022"/>
        <w:gridCol w:w="1021"/>
        <w:gridCol w:w="1023"/>
        <w:gridCol w:w="709"/>
        <w:gridCol w:w="928"/>
        <w:gridCol w:w="924"/>
        <w:gridCol w:w="938"/>
      </w:tblGrid>
      <w:tr w:rsidR="00C57C51" w:rsidRPr="008D10A2" w:rsidTr="00063B03">
        <w:trPr>
          <w:trHeight w:val="458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Класификационен код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ОБЛАСТИ НА ПОЛИТИКИ И                              БЮДЖЕТНИ ПРОГРАМИ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Закон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Уточнен план</w:t>
            </w:r>
          </w:p>
        </w:tc>
        <w:tc>
          <w:tcPr>
            <w:tcW w:w="6565" w:type="dxa"/>
            <w:gridSpan w:val="7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ОТЧЕТ</w:t>
            </w:r>
          </w:p>
        </w:tc>
      </w:tr>
      <w:tr w:rsidR="00C57C51" w:rsidRPr="008D10A2" w:rsidTr="00063B03">
        <w:trPr>
          <w:trHeight w:val="823"/>
        </w:trPr>
        <w:tc>
          <w:tcPr>
            <w:tcW w:w="113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Общо консолидирани разходи</w:t>
            </w:r>
          </w:p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</w:p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Ведомствени разходи</w:t>
            </w:r>
          </w:p>
        </w:tc>
        <w:tc>
          <w:tcPr>
            <w:tcW w:w="27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Администрирани разходи</w:t>
            </w:r>
          </w:p>
        </w:tc>
      </w:tr>
      <w:tr w:rsidR="00157D1C" w:rsidRPr="008D10A2" w:rsidTr="00063B03">
        <w:trPr>
          <w:trHeight w:val="136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(в хил. лв.)</w:t>
            </w:r>
          </w:p>
        </w:tc>
        <w:tc>
          <w:tcPr>
            <w:tcW w:w="10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C090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color w:val="000000"/>
                <w:sz w:val="18"/>
                <w:szCs w:val="18"/>
              </w:rPr>
              <w:t>Общо разходи</w:t>
            </w: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i/>
                <w:i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i/>
                <w:iCs/>
                <w:color w:val="000000"/>
                <w:sz w:val="18"/>
                <w:szCs w:val="18"/>
              </w:rPr>
              <w:t>По бюджета на ПРБ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i/>
                <w:i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i/>
                <w:iCs/>
                <w:color w:val="000000"/>
                <w:sz w:val="18"/>
                <w:szCs w:val="18"/>
              </w:rPr>
              <w:t>По други бюджети и сметки за средства от ЕС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color w:val="000000"/>
                <w:sz w:val="18"/>
                <w:szCs w:val="18"/>
              </w:rPr>
              <w:t>Общо разходи</w:t>
            </w:r>
          </w:p>
        </w:tc>
        <w:tc>
          <w:tcPr>
            <w:tcW w:w="92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i/>
                <w:i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i/>
                <w:iCs/>
                <w:color w:val="000000"/>
                <w:sz w:val="18"/>
                <w:szCs w:val="18"/>
              </w:rPr>
              <w:t>По бюджета на ПРБ</w:t>
            </w:r>
          </w:p>
        </w:tc>
        <w:tc>
          <w:tcPr>
            <w:tcW w:w="93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</w:tcPr>
          <w:p w:rsidR="00C57C51" w:rsidRPr="007C6F13" w:rsidRDefault="00C57C51" w:rsidP="003E3F8D">
            <w:pPr>
              <w:spacing w:after="0" w:line="240" w:lineRule="auto"/>
              <w:jc w:val="center"/>
              <w:rPr>
                <w:rFonts w:ascii="Cambria" w:hAnsi="Cambria" w:cs="Times New Roman"/>
                <w:i/>
                <w:i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i/>
                <w:iCs/>
                <w:color w:val="000000"/>
                <w:sz w:val="18"/>
                <w:szCs w:val="18"/>
              </w:rPr>
              <w:t>По други бюджети и сметки за средства от ЕС</w:t>
            </w:r>
          </w:p>
        </w:tc>
      </w:tr>
      <w:tr w:rsidR="00157D1C" w:rsidRPr="007C6F13" w:rsidTr="00063B03">
        <w:trPr>
          <w:trHeight w:val="3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7D1C" w:rsidRPr="007C6F13" w:rsidRDefault="00157D1C" w:rsidP="00157D1C">
            <w:pPr>
              <w:spacing w:after="0" w:line="240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1100.00.00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1C" w:rsidRPr="007C6F13" w:rsidRDefault="00157D1C" w:rsidP="00157D1C">
            <w:pPr>
              <w:spacing w:after="0" w:line="240" w:lineRule="auto"/>
              <w:jc w:val="both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  <w:t>Общо разходи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141 246,50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167 761,04</w:t>
            </w:r>
          </w:p>
        </w:tc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7D1C" w:rsidRPr="007C6F13" w:rsidRDefault="00157D1C" w:rsidP="00157D1C">
            <w:pPr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159 622,11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7D1C" w:rsidRPr="007C6F13" w:rsidRDefault="00157D1C" w:rsidP="00157D1C">
            <w:pPr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134 650,22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134 650,22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7D1C" w:rsidRPr="007C6F13" w:rsidRDefault="00157D1C" w:rsidP="00157D1C">
            <w:pPr>
              <w:spacing w:after="0" w:line="240" w:lineRule="auto"/>
              <w:jc w:val="right"/>
              <w:rPr>
                <w:rFonts w:ascii="Cambria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7D1C" w:rsidRPr="007C6F13" w:rsidRDefault="00157D1C" w:rsidP="00157D1C">
            <w:pPr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24 971,89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7D1C" w:rsidRPr="007C6F13" w:rsidRDefault="00157D1C" w:rsidP="00157D1C">
            <w:pPr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24 971,89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C6F13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  <w:tr w:rsidR="00157D1C" w:rsidRPr="007C6F13" w:rsidTr="00063B03">
        <w:trPr>
          <w:trHeight w:val="43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157D1C" w:rsidRPr="007C6F13" w:rsidRDefault="00157D1C" w:rsidP="00157D1C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  <w:t>1100.01.00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57D1C" w:rsidRPr="007C6F13" w:rsidRDefault="00157D1C" w:rsidP="00157D1C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  <w:t>Политика в областта на развитието на ефективна дипломатическа служба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119 546,40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141 882,55</w:t>
            </w:r>
          </w:p>
        </w:tc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133 938,61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131 938,61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131 938,61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2 000,00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2 000,00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C6F13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  <w:tr w:rsidR="00157D1C" w:rsidRPr="007C6F13" w:rsidTr="00063B03">
        <w:trPr>
          <w:trHeight w:val="435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AC090"/>
            <w:vAlign w:val="center"/>
            <w:hideMark/>
          </w:tcPr>
          <w:p w:rsidR="00157D1C" w:rsidRPr="007C6F13" w:rsidRDefault="00157D1C" w:rsidP="00157D1C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  <w:t>1100.02.00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57D1C" w:rsidRPr="007C6F13" w:rsidRDefault="00157D1C" w:rsidP="00157D1C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  <w:t>Политика в областта на публичната дипломация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940,10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1 094,89</w:t>
            </w:r>
          </w:p>
        </w:tc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1 080,02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1 080,02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1 080,02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:rsidR="00157D1C" w:rsidRPr="007C6F13" w:rsidRDefault="00157D1C" w:rsidP="00157D1C">
            <w:pPr>
              <w:spacing w:after="0" w:line="240" w:lineRule="auto"/>
              <w:jc w:val="right"/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0,00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C6F13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  <w:tr w:rsidR="00157D1C" w:rsidRPr="007C6F13" w:rsidTr="00063B03">
        <w:trPr>
          <w:trHeight w:val="435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AC090"/>
            <w:vAlign w:val="center"/>
            <w:hideMark/>
          </w:tcPr>
          <w:p w:rsidR="00157D1C" w:rsidRPr="007C6F13" w:rsidRDefault="00157D1C" w:rsidP="00157D1C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  <w:t>1100.03.00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57D1C" w:rsidRPr="007C6F13" w:rsidRDefault="00157D1C" w:rsidP="00157D1C">
            <w:pPr>
              <w:spacing w:after="0" w:line="240" w:lineRule="auto"/>
              <w:jc w:val="both"/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 w:cs="Times New Roman"/>
                <w:bCs/>
                <w:color w:val="000000"/>
                <w:sz w:val="18"/>
                <w:szCs w:val="18"/>
              </w:rPr>
              <w:t>Политика в областта на активната двустранна и многостранна дипломация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20 760,00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24 783,60</w:t>
            </w:r>
          </w:p>
        </w:tc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24 603,47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448F5">
              <w:rPr>
                <w:rFonts w:ascii="Cambria" w:hAnsi="Cambria"/>
                <w:sz w:val="18"/>
                <w:szCs w:val="18"/>
              </w:rPr>
              <w:t>1 631,58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1 631,58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7C6F13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22 971,89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157D1C" w:rsidRPr="007C6F13" w:rsidRDefault="00157D1C" w:rsidP="00157D1C">
            <w:pPr>
              <w:rPr>
                <w:rFonts w:ascii="Cambria" w:hAnsi="Cambria"/>
                <w:sz w:val="18"/>
                <w:szCs w:val="18"/>
              </w:rPr>
            </w:pPr>
            <w:r w:rsidRPr="00157D1C">
              <w:rPr>
                <w:rFonts w:ascii="Cambria" w:hAnsi="Cambria"/>
                <w:sz w:val="18"/>
                <w:szCs w:val="18"/>
              </w:rPr>
              <w:t>22 971,89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157D1C" w:rsidRPr="007C6F13" w:rsidRDefault="00157D1C" w:rsidP="00157D1C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7C6F13">
              <w:rPr>
                <w:rFonts w:ascii="Cambria" w:hAnsi="Cambria"/>
                <w:sz w:val="18"/>
                <w:szCs w:val="18"/>
              </w:rPr>
              <w:t>0</w:t>
            </w:r>
          </w:p>
        </w:tc>
      </w:tr>
    </w:tbl>
    <w:p w:rsidR="00C57C51" w:rsidRDefault="00C57C51" w:rsidP="00716035">
      <w:pPr>
        <w:spacing w:after="0" w:line="240" w:lineRule="auto"/>
        <w:jc w:val="both"/>
        <w:rPr>
          <w:rFonts w:ascii="Cambria" w:hAnsi="Cambria" w:cs="Times New Roman"/>
          <w:b/>
          <w:i/>
        </w:rPr>
      </w:pPr>
    </w:p>
    <w:p w:rsidR="00C57C51" w:rsidRDefault="00C57C51" w:rsidP="00716035">
      <w:pPr>
        <w:spacing w:after="0" w:line="240" w:lineRule="auto"/>
        <w:jc w:val="both"/>
        <w:rPr>
          <w:rFonts w:ascii="Cambria" w:hAnsi="Cambria" w:cs="Times New Roman"/>
          <w:b/>
          <w:i/>
        </w:rPr>
      </w:pPr>
    </w:p>
    <w:p w:rsidR="00063B03" w:rsidRDefault="00063B03" w:rsidP="00716035">
      <w:pPr>
        <w:spacing w:after="0" w:line="240" w:lineRule="auto"/>
        <w:jc w:val="both"/>
        <w:rPr>
          <w:rFonts w:ascii="Cambria" w:hAnsi="Cambria" w:cs="Times New Roman"/>
          <w:b/>
          <w:i/>
        </w:rPr>
      </w:pPr>
    </w:p>
    <w:p w:rsidR="00DB0CA6" w:rsidRPr="00716035" w:rsidRDefault="00DB0CA6" w:rsidP="00716035">
      <w:pPr>
        <w:spacing w:after="0" w:line="240" w:lineRule="auto"/>
        <w:ind w:firstLine="708"/>
        <w:jc w:val="both"/>
        <w:rPr>
          <w:rFonts w:ascii="Cambria" w:hAnsi="Cambria" w:cs="Times New Roman"/>
          <w:b/>
          <w:i/>
        </w:rPr>
      </w:pPr>
    </w:p>
    <w:p w:rsidR="00091C5B" w:rsidRPr="00716035" w:rsidRDefault="00D545AA" w:rsidP="00716035">
      <w:pPr>
        <w:shd w:val="clear" w:color="auto" w:fill="FBD4B4" w:themeFill="accent6" w:themeFillTint="66"/>
        <w:spacing w:after="0" w:line="240" w:lineRule="auto"/>
        <w:jc w:val="both"/>
        <w:rPr>
          <w:rFonts w:ascii="Cambria" w:hAnsi="Cambria" w:cs="Times New Roman"/>
          <w:b/>
          <w:caps/>
          <w:color w:val="000000"/>
        </w:rPr>
      </w:pPr>
      <w:r w:rsidRPr="00716035">
        <w:rPr>
          <w:rFonts w:ascii="Cambria" w:hAnsi="Cambria" w:cs="Times New Roman"/>
          <w:b/>
          <w:caps/>
          <w:shd w:val="clear" w:color="auto" w:fill="FBD4B4" w:themeFill="accent6" w:themeFillTint="66"/>
        </w:rPr>
        <w:t xml:space="preserve">Област на политика: </w:t>
      </w:r>
      <w:r w:rsidR="00C131A1" w:rsidRPr="00716035">
        <w:rPr>
          <w:rFonts w:ascii="Cambria" w:hAnsi="Cambria" w:cs="Times New Roman"/>
          <w:b/>
          <w:caps/>
          <w:color w:val="000000"/>
          <w:shd w:val="clear" w:color="auto" w:fill="FBD4B4" w:themeFill="accent6" w:themeFillTint="66"/>
        </w:rPr>
        <w:t>„Развитие на ефективна дипломатическа</w:t>
      </w:r>
      <w:r w:rsidR="00C131A1" w:rsidRPr="00716035">
        <w:rPr>
          <w:rFonts w:ascii="Cambria" w:hAnsi="Cambria" w:cs="Times New Roman"/>
          <w:b/>
          <w:caps/>
          <w:color w:val="000000"/>
        </w:rPr>
        <w:t xml:space="preserve"> служба”</w:t>
      </w:r>
    </w:p>
    <w:p w:rsidR="00191852" w:rsidRPr="00716035" w:rsidRDefault="00191852" w:rsidP="00716035">
      <w:pPr>
        <w:spacing w:after="0" w:line="240" w:lineRule="auto"/>
        <w:ind w:firstLine="708"/>
        <w:jc w:val="both"/>
        <w:rPr>
          <w:rFonts w:ascii="Cambria" w:hAnsi="Cambria" w:cs="Times New Roman"/>
        </w:rPr>
      </w:pPr>
    </w:p>
    <w:p w:rsidR="00B740F1" w:rsidRPr="00716035" w:rsidRDefault="00B740F1" w:rsidP="00716035">
      <w:pPr>
        <w:spacing w:after="0" w:line="240" w:lineRule="auto"/>
        <w:ind w:firstLine="432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Развитието на Дипломатическа служба, отговаряща на потребностите на българските граждани и бизнес и способна за навременна и адекватна реакция</w:t>
      </w:r>
      <w:r w:rsidR="00212C89" w:rsidRPr="00716035">
        <w:rPr>
          <w:rFonts w:ascii="Cambria" w:hAnsi="Cambria" w:cs="Times New Roman"/>
        </w:rPr>
        <w:t>, особено</w:t>
      </w:r>
      <w:r w:rsidRPr="00716035">
        <w:rPr>
          <w:rFonts w:ascii="Cambria" w:hAnsi="Cambria" w:cs="Times New Roman"/>
        </w:rPr>
        <w:t xml:space="preserve"> в условията на </w:t>
      </w:r>
      <w:r w:rsidR="00212C89" w:rsidRPr="00716035">
        <w:rPr>
          <w:rFonts w:ascii="Cambria" w:hAnsi="Cambria" w:cs="Times New Roman"/>
        </w:rPr>
        <w:t xml:space="preserve">безпрецедентната ситуация, породена от </w:t>
      </w:r>
      <w:r w:rsidR="00212C89" w:rsidRPr="00716035">
        <w:rPr>
          <w:rFonts w:ascii="Cambria" w:hAnsi="Cambria" w:cs="Times New Roman"/>
          <w:lang w:val="en-US"/>
        </w:rPr>
        <w:t>COVID</w:t>
      </w:r>
      <w:r w:rsidR="00212C89" w:rsidRPr="00092FF7">
        <w:rPr>
          <w:rFonts w:ascii="Cambria" w:hAnsi="Cambria" w:cs="Times New Roman"/>
        </w:rPr>
        <w:t>-19</w:t>
      </w:r>
      <w:r w:rsidRPr="00716035">
        <w:rPr>
          <w:rFonts w:ascii="Cambria" w:hAnsi="Cambria" w:cs="Times New Roman"/>
        </w:rPr>
        <w:t>, е пряко свързано с ресурсното обезпечаване. В тази връзка п</w:t>
      </w:r>
      <w:r w:rsidR="00E52DA2" w:rsidRPr="00716035">
        <w:rPr>
          <w:rFonts w:ascii="Cambria" w:hAnsi="Cambria" w:cs="Times New Roman"/>
        </w:rPr>
        <w:t>рез 20</w:t>
      </w:r>
      <w:r w:rsidR="00212C89" w:rsidRPr="00092FF7">
        <w:rPr>
          <w:rFonts w:ascii="Cambria" w:hAnsi="Cambria" w:cs="Times New Roman"/>
        </w:rPr>
        <w:t>20</w:t>
      </w:r>
      <w:r w:rsidR="00E52DA2" w:rsidRPr="00716035">
        <w:rPr>
          <w:rFonts w:ascii="Cambria" w:hAnsi="Cambria" w:cs="Times New Roman"/>
        </w:rPr>
        <w:t xml:space="preserve"> г. МВнР положи усилия</w:t>
      </w:r>
      <w:r w:rsidRPr="00716035">
        <w:rPr>
          <w:rFonts w:ascii="Cambria" w:hAnsi="Cambria" w:cs="Times New Roman"/>
        </w:rPr>
        <w:t xml:space="preserve"> в посока аргументиране и осигуряване на съответни бюджетни финансови средства. </w:t>
      </w:r>
    </w:p>
    <w:p w:rsidR="00E52DA2" w:rsidRPr="00716035" w:rsidRDefault="00E52DA2" w:rsidP="00716035">
      <w:pPr>
        <w:spacing w:after="0" w:line="240" w:lineRule="auto"/>
        <w:ind w:firstLine="432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 xml:space="preserve">За организираност на работните процеси допринася внедрената система за електронен документооборот, която позволява проследяемост и отчетност на управленските процеси. </w:t>
      </w:r>
    </w:p>
    <w:p w:rsidR="00B740F1" w:rsidRPr="00716035" w:rsidRDefault="00B740F1" w:rsidP="00716035">
      <w:pPr>
        <w:spacing w:after="0" w:line="240" w:lineRule="auto"/>
        <w:ind w:firstLine="432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Продължиха постоянните усилия за развитие и поддържане на информационните и техническите способности в МВнР, в т.ч. и българските задгранични представителства.</w:t>
      </w:r>
      <w:r w:rsidR="00212C89" w:rsidRPr="00092FF7">
        <w:rPr>
          <w:rFonts w:ascii="Cambria" w:hAnsi="Cambria" w:cs="Times New Roman"/>
        </w:rPr>
        <w:t xml:space="preserve"> </w:t>
      </w:r>
      <w:r w:rsidR="00212C89" w:rsidRPr="00716035">
        <w:rPr>
          <w:rFonts w:ascii="Cambria" w:hAnsi="Cambria" w:cs="Times New Roman"/>
        </w:rPr>
        <w:t xml:space="preserve">Като успех в това отношение може да се посочи създаването и работата на 24-часов  </w:t>
      </w:r>
      <w:r w:rsidR="006736E4">
        <w:rPr>
          <w:rFonts w:ascii="Cambria" w:hAnsi="Cambria" w:cs="Times New Roman"/>
          <w:bCs/>
          <w:iCs/>
        </w:rPr>
        <w:t>информационен кол</w:t>
      </w:r>
      <w:r w:rsidR="00212C89" w:rsidRPr="00716035">
        <w:rPr>
          <w:rFonts w:ascii="Cambria" w:hAnsi="Cambria" w:cs="Times New Roman"/>
          <w:bCs/>
          <w:iCs/>
        </w:rPr>
        <w:t>център в МВнР, на който гражданите получават денонощно информация и/или подават сигнали в случай на криза или</w:t>
      </w:r>
      <w:r w:rsidR="006736E4">
        <w:rPr>
          <w:rFonts w:ascii="Cambria" w:hAnsi="Cambria" w:cs="Times New Roman"/>
          <w:bCs/>
          <w:iCs/>
        </w:rPr>
        <w:t xml:space="preserve"> инцидент</w:t>
      </w:r>
      <w:r w:rsidR="00212C89" w:rsidRPr="00716035">
        <w:rPr>
          <w:rFonts w:ascii="Cambria" w:hAnsi="Cambria" w:cs="Times New Roman"/>
          <w:bCs/>
          <w:iCs/>
        </w:rPr>
        <w:t>.</w:t>
      </w:r>
      <w:r w:rsidRPr="00716035">
        <w:rPr>
          <w:rFonts w:ascii="Cambria" w:hAnsi="Cambria" w:cs="Times New Roman"/>
        </w:rPr>
        <w:t xml:space="preserve"> В допълнение</w:t>
      </w:r>
      <w:r w:rsidR="00212C89" w:rsidRPr="00716035">
        <w:rPr>
          <w:rFonts w:ascii="Cambria" w:hAnsi="Cambria" w:cs="Times New Roman"/>
        </w:rPr>
        <w:t xml:space="preserve">, бе създадена и поддържана </w:t>
      </w:r>
      <w:r w:rsidR="00212C89" w:rsidRPr="00716035">
        <w:rPr>
          <w:rFonts w:ascii="Cambria" w:hAnsi="Cambria" w:cs="Times New Roman"/>
          <w:bCs/>
          <w:iCs/>
        </w:rPr>
        <w:t>интерактивна карта на света на интернет страницата на МВнР – „Корона</w:t>
      </w:r>
      <w:r w:rsidR="00DC02F3">
        <w:rPr>
          <w:rFonts w:ascii="Cambria" w:hAnsi="Cambria" w:cs="Times New Roman"/>
          <w:bCs/>
          <w:iCs/>
        </w:rPr>
        <w:t xml:space="preserve"> </w:t>
      </w:r>
      <w:r w:rsidR="00212C89" w:rsidRPr="00716035">
        <w:rPr>
          <w:rFonts w:ascii="Cambria" w:hAnsi="Cambria" w:cs="Times New Roman"/>
          <w:bCs/>
          <w:iCs/>
        </w:rPr>
        <w:t>вирусът – как да пътуваме“, в която се помества и актуализира 24/7 информация за условията и мерките за пътуване в условията на пандемията за всяка една държава</w:t>
      </w:r>
      <w:r w:rsidR="00212C89" w:rsidRPr="00716035">
        <w:rPr>
          <w:rFonts w:ascii="Cambria" w:hAnsi="Cambria" w:cs="Times New Roman"/>
        </w:rPr>
        <w:t>.</w:t>
      </w:r>
      <w:r w:rsidRPr="00716035">
        <w:rPr>
          <w:rFonts w:ascii="Cambria" w:hAnsi="Cambria" w:cs="Times New Roman"/>
        </w:rPr>
        <w:t xml:space="preserve"> </w:t>
      </w:r>
      <w:r w:rsidR="00212C89" w:rsidRPr="00716035">
        <w:rPr>
          <w:rFonts w:ascii="Cambria" w:hAnsi="Cambria" w:cs="Times New Roman"/>
        </w:rPr>
        <w:t>Б</w:t>
      </w:r>
      <w:r w:rsidR="006736E4">
        <w:rPr>
          <w:rFonts w:ascii="Cambria" w:hAnsi="Cambria" w:cs="Times New Roman"/>
        </w:rPr>
        <w:t xml:space="preserve">яха предприети </w:t>
      </w:r>
      <w:r w:rsidRPr="00716035">
        <w:rPr>
          <w:rFonts w:ascii="Cambria" w:hAnsi="Cambria" w:cs="Times New Roman"/>
        </w:rPr>
        <w:t>мерки, които да осигурят нивото на мрежовата и информационната сигурност, както  и  да се предотврати и</w:t>
      </w:r>
      <w:r w:rsidR="006736E4">
        <w:rPr>
          <w:rFonts w:ascii="Cambria" w:hAnsi="Cambria" w:cs="Times New Roman"/>
        </w:rPr>
        <w:t>ли</w:t>
      </w:r>
      <w:r w:rsidRPr="00716035">
        <w:rPr>
          <w:rFonts w:ascii="Cambria" w:hAnsi="Cambria" w:cs="Times New Roman"/>
        </w:rPr>
        <w:t xml:space="preserve"> намали до минимум въздействието на инциденти, засягащи мрежовата и информационната сигурност. </w:t>
      </w:r>
    </w:p>
    <w:p w:rsidR="00B740F1" w:rsidRPr="00716035" w:rsidRDefault="00B740F1" w:rsidP="00716035">
      <w:pPr>
        <w:spacing w:after="0" w:line="240" w:lineRule="auto"/>
        <w:ind w:firstLine="432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 xml:space="preserve">Положени бяха усилия за гарантиране на прозрачност в процеса на кариерно развитие, както и при </w:t>
      </w:r>
      <w:r w:rsidR="00812B10" w:rsidRPr="00716035">
        <w:rPr>
          <w:rFonts w:ascii="Cambria" w:hAnsi="Cambria" w:cs="Times New Roman"/>
        </w:rPr>
        <w:t>заемане на ръководни длъжности чрез конкурентен подбор.</w:t>
      </w:r>
    </w:p>
    <w:p w:rsidR="00812B10" w:rsidRPr="00716035" w:rsidRDefault="00812B10" w:rsidP="00716035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965"/>
        <w:gridCol w:w="3150"/>
        <w:gridCol w:w="3240"/>
      </w:tblGrid>
      <w:tr w:rsidR="00DB7021" w:rsidRPr="00716035" w:rsidTr="00DB7021">
        <w:tc>
          <w:tcPr>
            <w:tcW w:w="9355" w:type="dxa"/>
            <w:gridSpan w:val="3"/>
            <w:shd w:val="clear" w:color="auto" w:fill="FABF8F" w:themeFill="accent6" w:themeFillTint="99"/>
          </w:tcPr>
          <w:p w:rsidR="00DB7021" w:rsidRPr="00716035" w:rsidRDefault="00DB7021" w:rsidP="00716035">
            <w:pPr>
              <w:jc w:val="center"/>
              <w:rPr>
                <w:rFonts w:ascii="Cambria" w:hAnsi="Cambria" w:cs="Times New Roman"/>
                <w:b/>
                <w:i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КЛЮЧОВИ ИНДИКАТОРИ ЗА ИЗПЪЛНЕНИЕ И ЦЕЛЕВИ СТОЙНОСТИ</w:t>
            </w:r>
          </w:p>
          <w:p w:rsidR="00DB7021" w:rsidRPr="00716035" w:rsidRDefault="00DB7021" w:rsidP="00716035">
            <w:pPr>
              <w:jc w:val="center"/>
              <w:rPr>
                <w:rFonts w:ascii="Cambria" w:hAnsi="Cambria" w:cs="Times New Roman"/>
                <w:b/>
                <w:bCs/>
                <w:iCs/>
              </w:rPr>
            </w:pPr>
            <w:r w:rsidRPr="00716035">
              <w:rPr>
                <w:rFonts w:ascii="Cambria" w:hAnsi="Cambria" w:cs="Times New Roman"/>
                <w:b/>
                <w:iCs/>
              </w:rPr>
              <w:t>Област на политика „Развитие на ефективна дипломатическа служба“</w:t>
            </w:r>
          </w:p>
        </w:tc>
      </w:tr>
      <w:tr w:rsidR="00DB7021" w:rsidRPr="00716035" w:rsidTr="00DB7021">
        <w:tc>
          <w:tcPr>
            <w:tcW w:w="2965" w:type="dxa"/>
            <w:shd w:val="clear" w:color="auto" w:fill="FABF8F" w:themeFill="accent6" w:themeFillTint="99"/>
          </w:tcPr>
          <w:p w:rsidR="00DB7021" w:rsidRPr="00716035" w:rsidRDefault="00DB7021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Наименование на индикатора</w:t>
            </w:r>
          </w:p>
        </w:tc>
        <w:tc>
          <w:tcPr>
            <w:tcW w:w="3150" w:type="dxa"/>
            <w:shd w:val="clear" w:color="auto" w:fill="FABF8F" w:themeFill="accent6" w:themeFillTint="99"/>
          </w:tcPr>
          <w:p w:rsidR="00DB7021" w:rsidRPr="00716035" w:rsidRDefault="00DB7021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Мерна единица</w:t>
            </w:r>
          </w:p>
        </w:tc>
        <w:tc>
          <w:tcPr>
            <w:tcW w:w="3240" w:type="dxa"/>
            <w:shd w:val="clear" w:color="auto" w:fill="FABF8F" w:themeFill="accent6" w:themeFillTint="99"/>
          </w:tcPr>
          <w:p w:rsidR="00DB7021" w:rsidRPr="00716035" w:rsidRDefault="00212C89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  <w:iCs/>
              </w:rPr>
              <w:t>Отчет</w:t>
            </w:r>
            <w:r w:rsidR="00DB7021" w:rsidRPr="00716035">
              <w:rPr>
                <w:rFonts w:ascii="Cambria" w:hAnsi="Cambria" w:cs="Times New Roman"/>
                <w:b/>
                <w:bCs/>
                <w:iCs/>
              </w:rPr>
              <w:t xml:space="preserve"> 20</w:t>
            </w:r>
            <w:r w:rsidRPr="00716035">
              <w:rPr>
                <w:rFonts w:ascii="Cambria" w:hAnsi="Cambria" w:cs="Times New Roman"/>
                <w:b/>
                <w:bCs/>
                <w:iCs/>
              </w:rPr>
              <w:t>20</w:t>
            </w:r>
            <w:r w:rsidR="00DB7021" w:rsidRPr="00716035">
              <w:rPr>
                <w:rFonts w:ascii="Cambria" w:hAnsi="Cambria" w:cs="Times New Roman"/>
                <w:b/>
                <w:bCs/>
                <w:iCs/>
              </w:rPr>
              <w:t xml:space="preserve"> г.</w:t>
            </w:r>
          </w:p>
        </w:tc>
      </w:tr>
      <w:tr w:rsidR="00DB7021" w:rsidRPr="00716035" w:rsidTr="00DB7021">
        <w:tc>
          <w:tcPr>
            <w:tcW w:w="2965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</w:rPr>
              <w:t>Управление на човешките ресурси</w:t>
            </w:r>
          </w:p>
        </w:tc>
        <w:tc>
          <w:tcPr>
            <w:tcW w:w="3150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Заседания на Кариерна комисия</w:t>
            </w:r>
          </w:p>
        </w:tc>
        <w:tc>
          <w:tcPr>
            <w:tcW w:w="3240" w:type="dxa"/>
          </w:tcPr>
          <w:p w:rsidR="00DB7021" w:rsidRPr="00716035" w:rsidRDefault="00E32E50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9</w:t>
            </w:r>
          </w:p>
        </w:tc>
      </w:tr>
      <w:tr w:rsidR="00DB7021" w:rsidRPr="00716035" w:rsidTr="00DB7021">
        <w:tc>
          <w:tcPr>
            <w:tcW w:w="2965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</w:rPr>
              <w:t xml:space="preserve">Оптимално управление и поддръжка на сградния фонд </w:t>
            </w:r>
          </w:p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</w:p>
        </w:tc>
        <w:tc>
          <w:tcPr>
            <w:tcW w:w="3150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 xml:space="preserve">Планови ремонти </w:t>
            </w:r>
          </w:p>
        </w:tc>
        <w:tc>
          <w:tcPr>
            <w:tcW w:w="3240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Посочени са в целевите стойности на показателите за изпълнение в Програма 1 на програмния бюджет на МВнР</w:t>
            </w:r>
          </w:p>
        </w:tc>
      </w:tr>
      <w:tr w:rsidR="00DB7021" w:rsidRPr="00716035" w:rsidTr="00DB7021">
        <w:tc>
          <w:tcPr>
            <w:tcW w:w="2965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</w:rPr>
              <w:t>Ефективно финансово и бюджетно управление</w:t>
            </w:r>
          </w:p>
        </w:tc>
        <w:tc>
          <w:tcPr>
            <w:tcW w:w="3150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Финансово обезпечаване на дипломатическата служба</w:t>
            </w:r>
          </w:p>
        </w:tc>
        <w:tc>
          <w:tcPr>
            <w:tcW w:w="3240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100 %</w:t>
            </w:r>
          </w:p>
        </w:tc>
      </w:tr>
      <w:tr w:rsidR="00DB7021" w:rsidRPr="00716035" w:rsidTr="00DB7021">
        <w:tc>
          <w:tcPr>
            <w:tcW w:w="2965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</w:rPr>
              <w:t>Развитие на информационни системи и технологии</w:t>
            </w:r>
          </w:p>
        </w:tc>
        <w:tc>
          <w:tcPr>
            <w:tcW w:w="3150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Степен на привеждане на ведомствената информационна и комуникационна инфраструктура в съответствие с програмата за електронно управление и изискванията за защита на информацията</w:t>
            </w:r>
          </w:p>
        </w:tc>
        <w:tc>
          <w:tcPr>
            <w:tcW w:w="3240" w:type="dxa"/>
          </w:tcPr>
          <w:p w:rsidR="00DB7021" w:rsidRPr="00716035" w:rsidRDefault="00DB7021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100 %</w:t>
            </w:r>
          </w:p>
        </w:tc>
      </w:tr>
    </w:tbl>
    <w:p w:rsidR="00812B10" w:rsidRPr="00716035" w:rsidRDefault="00812B10" w:rsidP="00716035">
      <w:pPr>
        <w:spacing w:after="0" w:line="240" w:lineRule="auto"/>
        <w:jc w:val="both"/>
        <w:rPr>
          <w:rFonts w:ascii="Cambria" w:hAnsi="Cambria" w:cs="Times New Roman"/>
        </w:rPr>
      </w:pPr>
    </w:p>
    <w:p w:rsidR="00063B03" w:rsidRDefault="00063B03" w:rsidP="00716035">
      <w:pPr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</w:p>
    <w:p w:rsidR="009D0620" w:rsidRPr="00716035" w:rsidRDefault="009D0620" w:rsidP="00716035">
      <w:pPr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 xml:space="preserve">По отношение на набелязаните ключови индикатори следва да се отчете: </w:t>
      </w:r>
    </w:p>
    <w:p w:rsidR="009D0620" w:rsidRPr="00716035" w:rsidRDefault="009D0620" w:rsidP="00716035">
      <w:pPr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</w:p>
    <w:p w:rsidR="0037006C" w:rsidRDefault="00DB7021" w:rsidP="00716035">
      <w:pPr>
        <w:spacing w:after="0" w:line="240" w:lineRule="auto"/>
        <w:jc w:val="both"/>
        <w:rPr>
          <w:rFonts w:ascii="Cambria" w:hAnsi="Cambria" w:cs="Times New Roman"/>
          <w:color w:val="548DD4" w:themeColor="text2" w:themeTint="99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>Управление на човешките ресурси:</w:t>
      </w:r>
      <w:r w:rsidRPr="00716035">
        <w:rPr>
          <w:rFonts w:ascii="Cambria" w:hAnsi="Cambria" w:cs="Times New Roman"/>
          <w:color w:val="548DD4" w:themeColor="text2" w:themeTint="99"/>
        </w:rPr>
        <w:t xml:space="preserve"> </w:t>
      </w:r>
    </w:p>
    <w:p w:rsidR="00DB7021" w:rsidRPr="00716035" w:rsidRDefault="00E32E50" w:rsidP="00716035">
      <w:pPr>
        <w:spacing w:after="0" w:line="240" w:lineRule="auto"/>
        <w:ind w:firstLine="432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През 2020 г. бяха организирани и проведени 9 редовни заседания на Кариерната комисия към Министъра на външните</w:t>
      </w:r>
      <w:r w:rsidR="006736E4">
        <w:rPr>
          <w:rFonts w:ascii="Cambria" w:hAnsi="Cambria" w:cs="Times New Roman"/>
        </w:rPr>
        <w:t xml:space="preserve"> работи относно: обявяване на </w:t>
      </w:r>
      <w:r w:rsidRPr="00716035">
        <w:rPr>
          <w:rFonts w:ascii="Cambria" w:hAnsi="Cambria" w:cs="Times New Roman"/>
        </w:rPr>
        <w:t>допълнителни и повторни ротации за заемане на свободни и освобождаващи се длъжности за дипломатически и административно-технически служители в дипломатическите и консулските представителства на Република България; обратна</w:t>
      </w:r>
      <w:r w:rsidR="006736E4">
        <w:rPr>
          <w:rFonts w:ascii="Cambria" w:hAnsi="Cambria" w:cs="Times New Roman"/>
        </w:rPr>
        <w:t xml:space="preserve"> ротация; годишна ротация-2021; </w:t>
      </w:r>
      <w:r w:rsidRPr="00716035">
        <w:rPr>
          <w:rFonts w:ascii="Cambria" w:hAnsi="Cambria" w:cs="Times New Roman"/>
        </w:rPr>
        <w:t>повишаване в следващ дипломатически ранг на дипломатически служители от ЦУ на МВнР и ЗП. Бяха разгледани и постъпилите кандидатури за заемане на 44 свободни и освобождаващи се ръководни длъжности в ЦУ на МВнР, чрез  участие в обявените конкурентни подбори.</w:t>
      </w:r>
      <w:r w:rsidRPr="00716035">
        <w:rPr>
          <w:rFonts w:ascii="Cambria" w:hAnsi="Cambria"/>
        </w:rPr>
        <w:t xml:space="preserve"> През 2020 г. бяха стартирани общо 43 конкурсни процедури</w:t>
      </w:r>
      <w:r w:rsidR="0037006C" w:rsidRPr="00716035">
        <w:rPr>
          <w:rFonts w:ascii="Cambria" w:hAnsi="Cambria" w:cs="Times New Roman"/>
        </w:rPr>
        <w:t>.</w:t>
      </w:r>
    </w:p>
    <w:p w:rsidR="007D68D0" w:rsidRPr="00716035" w:rsidRDefault="007D68D0" w:rsidP="00716035">
      <w:pPr>
        <w:spacing w:after="0" w:line="240" w:lineRule="auto"/>
        <w:jc w:val="both"/>
        <w:rPr>
          <w:rFonts w:ascii="Cambria" w:hAnsi="Cambria" w:cs="Times New Roman"/>
          <w:b/>
          <w:bCs/>
          <w:color w:val="92D050"/>
        </w:rPr>
      </w:pPr>
    </w:p>
    <w:p w:rsidR="0037006C" w:rsidRPr="00716035" w:rsidRDefault="00DB7021" w:rsidP="00716035">
      <w:pPr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 xml:space="preserve">Оптимално управление и поддръжка на сградния фонд: </w:t>
      </w:r>
    </w:p>
    <w:p w:rsidR="002933BE" w:rsidRPr="00716035" w:rsidRDefault="00E32E50" w:rsidP="00716035">
      <w:pPr>
        <w:spacing w:after="0" w:line="240" w:lineRule="auto"/>
        <w:ind w:firstLine="432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В сградата на МВнР – ЦУ, гр. София, ул. „Ал. Жендов“ №2 е извършен ремонт на над 50 кабинета и зали, част от коридори</w:t>
      </w:r>
      <w:r w:rsidR="006736E4">
        <w:rPr>
          <w:rFonts w:ascii="Cambria" w:hAnsi="Cambria" w:cs="Times New Roman"/>
        </w:rPr>
        <w:t xml:space="preserve"> на мецанин и фоайе пред вход 1</w:t>
      </w:r>
      <w:r w:rsidRPr="00716035">
        <w:rPr>
          <w:rFonts w:ascii="Cambria" w:hAnsi="Cambria" w:cs="Times New Roman"/>
        </w:rPr>
        <w:t xml:space="preserve">, както и на санитарни помещения. Направена е подмяна на хидроизолационната система на плосък покрив над кафене и столова, обновено е кафенето на кота -1 и др. За повишаване на енергийната ефективност е направена и цялостна подмяна на алуминиевата дограма с нова, при подобрен коефициент на топлопреминаване. Реализирана е и частична подмяна на съществуващи осветителни тела с ново </w:t>
      </w:r>
      <w:r w:rsidRPr="00716035">
        <w:rPr>
          <w:rFonts w:ascii="Cambria" w:hAnsi="Cambria" w:cs="Times New Roman"/>
          <w:lang w:val="en-US"/>
        </w:rPr>
        <w:t>Led</w:t>
      </w:r>
      <w:r w:rsidRPr="00716035">
        <w:rPr>
          <w:rFonts w:ascii="Cambria" w:hAnsi="Cambria" w:cs="Times New Roman"/>
        </w:rPr>
        <w:t xml:space="preserve"> осветление с по-ниска консумация на ел. енергия в общите части и част от кабинетите в централната сграда на МВнР. По отношение на сградата на ул. „Алфред Нобел“ №2 в столицата, предоставена за нуждите на дирекция „Консулски отношения“, както и за Дипломатическия институт и Държавния културен институт – второстепенни разпоредители с бюджет, през 2020 г. е извършен ремонт на плоски покриви, почистване и подмяна на компрометирани участъци от пана по таван, поставяне на прагове за уплътнение на врати, подмяна на осветителни тела, ревизия на парната инсталация, както и профилактика на климатичните инсталации в помещенията, с оглед постигане на енергийна ефективност.</w:t>
      </w:r>
      <w:r w:rsidR="002933BE" w:rsidRPr="00716035">
        <w:rPr>
          <w:rFonts w:ascii="Cambria" w:hAnsi="Cambria" w:cs="Times New Roman"/>
        </w:rPr>
        <w:t xml:space="preserve"> </w:t>
      </w:r>
    </w:p>
    <w:p w:rsidR="007D68D0" w:rsidRPr="00716035" w:rsidRDefault="007D68D0" w:rsidP="00716035">
      <w:pPr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</w:p>
    <w:p w:rsidR="00257B22" w:rsidRPr="00716035" w:rsidRDefault="00DB7021" w:rsidP="00716035">
      <w:pPr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>Ефективно финансово и бюджетно управление:</w:t>
      </w:r>
      <w:r w:rsidRPr="00716035">
        <w:rPr>
          <w:rFonts w:ascii="Cambria" w:hAnsi="Cambria" w:cs="Times New Roman"/>
          <w:b/>
          <w:bCs/>
        </w:rPr>
        <w:t xml:space="preserve"> </w:t>
      </w:r>
    </w:p>
    <w:p w:rsidR="00DB7021" w:rsidRPr="00716035" w:rsidRDefault="00E32E50" w:rsidP="00716035">
      <w:pPr>
        <w:tabs>
          <w:tab w:val="left" w:pos="450"/>
        </w:tabs>
        <w:spacing w:after="0" w:line="240" w:lineRule="auto"/>
        <w:ind w:firstLine="360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В рамките на министерството бяха осигурени финансово-счетоводната и материална отчетност и бюджетния процес.</w:t>
      </w:r>
      <w:r w:rsidRPr="00092FF7">
        <w:rPr>
          <w:rFonts w:ascii="Cambria" w:hAnsi="Cambria" w:cs="Times New Roman"/>
        </w:rPr>
        <w:t xml:space="preserve"> </w:t>
      </w:r>
      <w:r w:rsidR="000612CC">
        <w:rPr>
          <w:rFonts w:ascii="Cambria" w:hAnsi="Cambria" w:cs="Times New Roman"/>
        </w:rPr>
        <w:t>О</w:t>
      </w:r>
      <w:r w:rsidRPr="00716035">
        <w:rPr>
          <w:rFonts w:ascii="Cambria" w:hAnsi="Cambria" w:cs="Times New Roman"/>
        </w:rPr>
        <w:t>съществяван</w:t>
      </w:r>
      <w:r w:rsidR="000612CC">
        <w:rPr>
          <w:rFonts w:ascii="Cambria" w:hAnsi="Cambria" w:cs="Times New Roman"/>
        </w:rPr>
        <w:t xml:space="preserve"> е </w:t>
      </w:r>
      <w:r w:rsidRPr="00716035">
        <w:rPr>
          <w:rFonts w:ascii="Cambria" w:hAnsi="Cambria" w:cs="Times New Roman"/>
        </w:rPr>
        <w:t>предварителен контрол за законосъобразност съгласно ЗФУКПС от финансови контрольори в ЦУ на МВнР преди поемане на задължение за приход/разход  и/или преди извършване на разход, в резултат на което са предотвратени редица незаконосъобразни разходи/поемане на задължения, отстранени са своевременно пропуски и несъответствия, не са допуснати нарушения на финансовата дисциплина.</w:t>
      </w:r>
    </w:p>
    <w:p w:rsidR="007D68D0" w:rsidRPr="00716035" w:rsidRDefault="007D68D0" w:rsidP="0071603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Cambria" w:hAnsi="Cambria" w:cs="Times New Roman"/>
          <w:b/>
          <w:bCs/>
          <w:color w:val="548DD4" w:themeColor="text2" w:themeTint="99"/>
        </w:rPr>
      </w:pPr>
    </w:p>
    <w:p w:rsidR="00E0193C" w:rsidRPr="00716035" w:rsidRDefault="00DB7021" w:rsidP="0071603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>Развитие на информационни системи и технологии:</w:t>
      </w:r>
      <w:r w:rsidR="00315D42" w:rsidRPr="00716035">
        <w:rPr>
          <w:rFonts w:ascii="Cambria" w:hAnsi="Cambria" w:cs="Times New Roman"/>
          <w:b/>
          <w:bCs/>
          <w:color w:val="548DD4" w:themeColor="text2" w:themeTint="99"/>
        </w:rPr>
        <w:t xml:space="preserve"> </w:t>
      </w:r>
    </w:p>
    <w:p w:rsidR="00E32E50" w:rsidRPr="00716035" w:rsidRDefault="00E32E50" w:rsidP="00716035">
      <w:pPr>
        <w:spacing w:after="0" w:line="240" w:lineRule="auto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През 2020 г. бяха реализирани комплекс от мерки за повишаване на нивото на мрежовата и информационна сигурност в МВнР, включващи:</w:t>
      </w:r>
    </w:p>
    <w:p w:rsidR="00E32E50" w:rsidRPr="00716035" w:rsidRDefault="00E32E50" w:rsidP="0071603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Доставка на системи за повишаване нивото на външна и физическа защита на публичната информационно-комуникационна инфраструктура (ИКИ) на МВнР и на Националната визова информационна система (НВИС);</w:t>
      </w:r>
    </w:p>
    <w:p w:rsidR="00E32E50" w:rsidRPr="00716035" w:rsidRDefault="00E32E50" w:rsidP="0071603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Доставка на системи за управление, мониторинг и защита на данните на НВИС;</w:t>
      </w:r>
    </w:p>
    <w:p w:rsidR="00E32E50" w:rsidRPr="00716035" w:rsidRDefault="00E32E50" w:rsidP="0071603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Проверка на нивото на мрежова и информационна сигурност на МВнР чрез извършване на независим одит на ИКИ на МВнР и на НВИС, както и чрез контролирани опити за проникване в тях;</w:t>
      </w:r>
    </w:p>
    <w:p w:rsidR="00E32E50" w:rsidRPr="00716035" w:rsidRDefault="00E32E50" w:rsidP="0071603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Създаване на Звено по мрежова и информационна сигурност;</w:t>
      </w:r>
    </w:p>
    <w:p w:rsidR="00DB7021" w:rsidRPr="00716035" w:rsidRDefault="00E32E50" w:rsidP="00716035">
      <w:pPr>
        <w:pStyle w:val="ListParagraph"/>
        <w:numPr>
          <w:ilvl w:val="0"/>
          <w:numId w:val="3"/>
        </w:numPr>
        <w:spacing w:after="0" w:line="240" w:lineRule="auto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Изготвяне и прилагане на Политика за мрежова и информационна сигурност на МВнР.</w:t>
      </w:r>
    </w:p>
    <w:p w:rsidR="00FE1350" w:rsidRDefault="00FE1350" w:rsidP="00716035">
      <w:pPr>
        <w:spacing w:after="0" w:line="240" w:lineRule="auto"/>
        <w:jc w:val="both"/>
        <w:rPr>
          <w:rFonts w:ascii="Cambria" w:hAnsi="Cambria" w:cs="Times New Roman"/>
        </w:rPr>
      </w:pPr>
    </w:p>
    <w:p w:rsidR="00063B03" w:rsidRDefault="00063B03" w:rsidP="00716035">
      <w:pPr>
        <w:spacing w:after="0" w:line="240" w:lineRule="auto"/>
        <w:jc w:val="both"/>
        <w:rPr>
          <w:rFonts w:ascii="Cambria" w:hAnsi="Cambria" w:cs="Times New Roman"/>
        </w:rPr>
      </w:pPr>
    </w:p>
    <w:p w:rsidR="00063B03" w:rsidRPr="00716035" w:rsidRDefault="00063B03" w:rsidP="00716035">
      <w:pPr>
        <w:spacing w:after="0" w:line="240" w:lineRule="auto"/>
        <w:jc w:val="both"/>
        <w:rPr>
          <w:rFonts w:ascii="Cambria" w:hAnsi="Cambria" w:cs="Times New Roman"/>
        </w:rPr>
      </w:pPr>
    </w:p>
    <w:p w:rsidR="00020ECE" w:rsidRPr="00716035" w:rsidRDefault="00020ECE" w:rsidP="00716035">
      <w:pPr>
        <w:shd w:val="clear" w:color="auto" w:fill="FBD4B4" w:themeFill="accent6" w:themeFillTint="66"/>
        <w:spacing w:after="0" w:line="240" w:lineRule="auto"/>
        <w:ind w:firstLine="284"/>
        <w:jc w:val="both"/>
        <w:rPr>
          <w:rFonts w:ascii="Cambria" w:hAnsi="Cambria" w:cs="Times New Roman"/>
          <w:b/>
          <w:caps/>
          <w:color w:val="000000"/>
        </w:rPr>
      </w:pPr>
      <w:r w:rsidRPr="00716035">
        <w:rPr>
          <w:rFonts w:ascii="Cambria" w:hAnsi="Cambria" w:cs="Times New Roman"/>
          <w:b/>
          <w:caps/>
        </w:rPr>
        <w:t xml:space="preserve">Област на политика: </w:t>
      </w:r>
      <w:r w:rsidRPr="00716035">
        <w:rPr>
          <w:rFonts w:ascii="Cambria" w:hAnsi="Cambria" w:cs="Times New Roman"/>
          <w:b/>
          <w:caps/>
          <w:color w:val="000000"/>
        </w:rPr>
        <w:t>„</w:t>
      </w:r>
      <w:r w:rsidR="00DB0CA6" w:rsidRPr="00716035">
        <w:rPr>
          <w:rFonts w:ascii="Cambria" w:hAnsi="Cambria" w:cs="Times New Roman"/>
          <w:b/>
          <w:caps/>
          <w:color w:val="000000"/>
        </w:rPr>
        <w:t>Публична дипломация</w:t>
      </w:r>
      <w:r w:rsidRPr="00716035">
        <w:rPr>
          <w:rFonts w:ascii="Cambria" w:hAnsi="Cambria" w:cs="Times New Roman"/>
          <w:b/>
          <w:caps/>
          <w:color w:val="000000"/>
        </w:rPr>
        <w:t>”</w:t>
      </w:r>
    </w:p>
    <w:p w:rsidR="00020ECE" w:rsidRPr="00716035" w:rsidRDefault="00020ECE" w:rsidP="0071603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mbria" w:hAnsi="Cambria" w:cs="Times New Roman"/>
        </w:rPr>
      </w:pPr>
    </w:p>
    <w:p w:rsidR="00E0193C" w:rsidRPr="00716035" w:rsidRDefault="00E0193C" w:rsidP="00716035">
      <w:pPr>
        <w:spacing w:after="0" w:line="240" w:lineRule="auto"/>
        <w:ind w:firstLine="450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 xml:space="preserve">В условията на съвременната информационна среда присъствието в публичното пространство се осъществява в значителна степен чрез използването на съществуващите благодарение на интернет и мобилните мрежи форми на комуникация, в т.ч. социални мрежи, електронни страници, чрез които се постига мигновен достъп до информация. </w:t>
      </w:r>
    </w:p>
    <w:p w:rsidR="00E0193C" w:rsidRPr="00716035" w:rsidRDefault="00EE14A9" w:rsidP="00716035">
      <w:pPr>
        <w:spacing w:after="0" w:line="240" w:lineRule="auto"/>
        <w:ind w:firstLine="450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 xml:space="preserve">Предвид извънредната епидемиологична обстановка, ДИ и ДКИ преориентираха своите дейности към </w:t>
      </w:r>
      <w:r w:rsidR="00885450" w:rsidRPr="00716035">
        <w:rPr>
          <w:rFonts w:ascii="Cambria" w:hAnsi="Cambria" w:cs="Times New Roman"/>
        </w:rPr>
        <w:t xml:space="preserve">преминаването им в онлайн среда. </w:t>
      </w:r>
    </w:p>
    <w:p w:rsidR="009D0620" w:rsidRPr="00716035" w:rsidRDefault="009D0620" w:rsidP="00716035">
      <w:pPr>
        <w:spacing w:after="0" w:line="240" w:lineRule="auto"/>
        <w:ind w:firstLine="284"/>
        <w:jc w:val="both"/>
        <w:rPr>
          <w:rFonts w:ascii="Cambria" w:hAnsi="Cambria" w:cs="Times New Roman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965"/>
        <w:gridCol w:w="3150"/>
        <w:gridCol w:w="3240"/>
      </w:tblGrid>
      <w:tr w:rsidR="009D0620" w:rsidRPr="00716035" w:rsidTr="005A23DC">
        <w:tc>
          <w:tcPr>
            <w:tcW w:w="9355" w:type="dxa"/>
            <w:gridSpan w:val="3"/>
            <w:shd w:val="clear" w:color="auto" w:fill="FABF8F" w:themeFill="accent6" w:themeFillTint="99"/>
          </w:tcPr>
          <w:p w:rsidR="009D0620" w:rsidRPr="00716035" w:rsidRDefault="009D0620" w:rsidP="00716035">
            <w:pPr>
              <w:jc w:val="center"/>
              <w:rPr>
                <w:rFonts w:ascii="Cambria" w:hAnsi="Cambria" w:cs="Times New Roman"/>
                <w:b/>
                <w:i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КЛЮЧОВИ ИНДИКАТОРИ ЗА ИЗПЪЛНЕНИЕ И ЦЕЛЕВИ СТОЙНОСТИ</w:t>
            </w:r>
          </w:p>
          <w:p w:rsidR="009D0620" w:rsidRPr="00716035" w:rsidRDefault="009D0620" w:rsidP="00716035">
            <w:pPr>
              <w:jc w:val="center"/>
              <w:rPr>
                <w:rFonts w:ascii="Cambria" w:hAnsi="Cambria" w:cs="Times New Roman"/>
                <w:b/>
                <w:bCs/>
                <w:iCs/>
              </w:rPr>
            </w:pPr>
            <w:r w:rsidRPr="00716035">
              <w:rPr>
                <w:rFonts w:ascii="Cambria" w:hAnsi="Cambria" w:cs="Times New Roman"/>
                <w:b/>
                <w:iCs/>
              </w:rPr>
              <w:t>Област на политика „„Публична дипломация““</w:t>
            </w:r>
          </w:p>
        </w:tc>
      </w:tr>
      <w:tr w:rsidR="009D0620" w:rsidRPr="00716035" w:rsidTr="005A23DC">
        <w:tc>
          <w:tcPr>
            <w:tcW w:w="2965" w:type="dxa"/>
            <w:shd w:val="clear" w:color="auto" w:fill="FABF8F" w:themeFill="accent6" w:themeFillTint="99"/>
          </w:tcPr>
          <w:p w:rsidR="009D0620" w:rsidRPr="00716035" w:rsidRDefault="009D0620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Наименование на индикатора</w:t>
            </w:r>
          </w:p>
        </w:tc>
        <w:tc>
          <w:tcPr>
            <w:tcW w:w="3150" w:type="dxa"/>
            <w:shd w:val="clear" w:color="auto" w:fill="FABF8F" w:themeFill="accent6" w:themeFillTint="99"/>
          </w:tcPr>
          <w:p w:rsidR="009D0620" w:rsidRPr="00716035" w:rsidRDefault="009D0620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Мерна единица</w:t>
            </w:r>
          </w:p>
        </w:tc>
        <w:tc>
          <w:tcPr>
            <w:tcW w:w="3240" w:type="dxa"/>
            <w:shd w:val="clear" w:color="auto" w:fill="FABF8F" w:themeFill="accent6" w:themeFillTint="99"/>
          </w:tcPr>
          <w:p w:rsidR="009D0620" w:rsidRPr="00716035" w:rsidRDefault="00EC066D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  <w:iCs/>
              </w:rPr>
              <w:t>Отчет</w:t>
            </w:r>
            <w:r w:rsidR="009D0620" w:rsidRPr="00716035">
              <w:rPr>
                <w:rFonts w:ascii="Cambria" w:hAnsi="Cambria" w:cs="Times New Roman"/>
                <w:b/>
                <w:bCs/>
                <w:iCs/>
              </w:rPr>
              <w:t xml:space="preserve"> 20</w:t>
            </w:r>
            <w:r w:rsidRPr="00716035">
              <w:rPr>
                <w:rFonts w:ascii="Cambria" w:hAnsi="Cambria" w:cs="Times New Roman"/>
                <w:b/>
                <w:bCs/>
                <w:iCs/>
              </w:rPr>
              <w:t>20</w:t>
            </w:r>
            <w:r w:rsidR="009D0620" w:rsidRPr="00716035">
              <w:rPr>
                <w:rFonts w:ascii="Cambria" w:hAnsi="Cambria" w:cs="Times New Roman"/>
                <w:b/>
                <w:bCs/>
                <w:iCs/>
              </w:rPr>
              <w:t xml:space="preserve"> г.</w:t>
            </w:r>
          </w:p>
        </w:tc>
      </w:tr>
      <w:tr w:rsidR="009D0620" w:rsidRPr="00716035" w:rsidTr="005A23DC">
        <w:tc>
          <w:tcPr>
            <w:tcW w:w="2965" w:type="dxa"/>
          </w:tcPr>
          <w:p w:rsidR="009D0620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 xml:space="preserve"> Публични дейности, организирани от ДИ</w:t>
            </w:r>
          </w:p>
        </w:tc>
        <w:tc>
          <w:tcPr>
            <w:tcW w:w="3150" w:type="dxa"/>
          </w:tcPr>
          <w:p w:rsidR="009D0620" w:rsidRPr="00716035" w:rsidRDefault="009D0620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Брой</w:t>
            </w:r>
          </w:p>
        </w:tc>
        <w:tc>
          <w:tcPr>
            <w:tcW w:w="3240" w:type="dxa"/>
          </w:tcPr>
          <w:p w:rsidR="009D0620" w:rsidRPr="00716035" w:rsidRDefault="009D0620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2</w:t>
            </w:r>
            <w:r w:rsidR="00EE14A9" w:rsidRPr="00716035">
              <w:rPr>
                <w:rFonts w:ascii="Cambria" w:hAnsi="Cambria" w:cs="Times New Roman"/>
                <w:b/>
                <w:bCs/>
              </w:rPr>
              <w:t>0</w:t>
            </w:r>
          </w:p>
        </w:tc>
      </w:tr>
      <w:tr w:rsidR="009D0620" w:rsidRPr="00716035" w:rsidTr="005A23DC">
        <w:tc>
          <w:tcPr>
            <w:tcW w:w="2965" w:type="dxa"/>
          </w:tcPr>
          <w:p w:rsidR="009D0620" w:rsidRPr="00716035" w:rsidRDefault="009D0620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Служители от МВнР</w:t>
            </w:r>
            <w:r w:rsidR="00EE14A9" w:rsidRPr="00716035">
              <w:rPr>
                <w:rFonts w:ascii="Cambria" w:hAnsi="Cambria" w:cs="Times New Roman"/>
                <w:b/>
                <w:bCs/>
              </w:rPr>
              <w:t xml:space="preserve"> и държавната администрация</w:t>
            </w:r>
            <w:r w:rsidRPr="00716035">
              <w:rPr>
                <w:rFonts w:ascii="Cambria" w:hAnsi="Cambria" w:cs="Times New Roman"/>
                <w:b/>
                <w:bCs/>
              </w:rPr>
              <w:t>, обучавани в програми на Дипломатическия институт</w:t>
            </w:r>
          </w:p>
        </w:tc>
        <w:tc>
          <w:tcPr>
            <w:tcW w:w="3150" w:type="dxa"/>
          </w:tcPr>
          <w:p w:rsidR="009D0620" w:rsidRPr="00716035" w:rsidRDefault="009D0620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Брой</w:t>
            </w:r>
          </w:p>
        </w:tc>
        <w:tc>
          <w:tcPr>
            <w:tcW w:w="3240" w:type="dxa"/>
          </w:tcPr>
          <w:p w:rsidR="009D0620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270</w:t>
            </w:r>
          </w:p>
        </w:tc>
      </w:tr>
      <w:tr w:rsidR="00EE14A9" w:rsidRPr="00716035" w:rsidTr="005C57F9">
        <w:tc>
          <w:tcPr>
            <w:tcW w:w="2965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Реализирани проекти/инициативи със задграничните мисии, с българските артистични общности в чужбина и други партньори от ДКИ</w:t>
            </w:r>
          </w:p>
        </w:tc>
        <w:tc>
          <w:tcPr>
            <w:tcW w:w="3150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Брой</w:t>
            </w:r>
          </w:p>
        </w:tc>
        <w:tc>
          <w:tcPr>
            <w:tcW w:w="3240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25</w:t>
            </w:r>
          </w:p>
        </w:tc>
      </w:tr>
      <w:tr w:rsidR="00EE14A9" w:rsidRPr="00716035" w:rsidTr="005C57F9">
        <w:tc>
          <w:tcPr>
            <w:tcW w:w="2965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Управление и поддържане на Художествения фонд, експозиции в галерия „Мисията”</w:t>
            </w:r>
          </w:p>
        </w:tc>
        <w:tc>
          <w:tcPr>
            <w:tcW w:w="3150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Брой</w:t>
            </w:r>
          </w:p>
        </w:tc>
        <w:tc>
          <w:tcPr>
            <w:tcW w:w="3240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10</w:t>
            </w:r>
          </w:p>
        </w:tc>
      </w:tr>
      <w:tr w:rsidR="00EE14A9" w:rsidRPr="00716035" w:rsidTr="005C57F9">
        <w:tc>
          <w:tcPr>
            <w:tcW w:w="2965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Дейности и продукти на ДКИ, насочени към основните партньори.</w:t>
            </w:r>
          </w:p>
        </w:tc>
        <w:tc>
          <w:tcPr>
            <w:tcW w:w="3150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Брой</w:t>
            </w:r>
          </w:p>
        </w:tc>
        <w:tc>
          <w:tcPr>
            <w:tcW w:w="3240" w:type="dxa"/>
          </w:tcPr>
          <w:p w:rsidR="00EE14A9" w:rsidRPr="00716035" w:rsidRDefault="00EE14A9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10</w:t>
            </w:r>
          </w:p>
        </w:tc>
      </w:tr>
      <w:tr w:rsidR="009D0620" w:rsidRPr="00716035" w:rsidTr="00B6006F">
        <w:tc>
          <w:tcPr>
            <w:tcW w:w="2965" w:type="dxa"/>
          </w:tcPr>
          <w:p w:rsidR="009D0620" w:rsidRPr="00716035" w:rsidRDefault="009D0620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Публичност на дейността на МВНР</w:t>
            </w:r>
          </w:p>
        </w:tc>
        <w:tc>
          <w:tcPr>
            <w:tcW w:w="3150" w:type="dxa"/>
            <w:vAlign w:val="center"/>
          </w:tcPr>
          <w:p w:rsidR="009D0620" w:rsidRPr="00716035" w:rsidRDefault="009D0620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Степен на откритост на външнополитическите действия в съответствие с нормативните документи</w:t>
            </w:r>
          </w:p>
        </w:tc>
        <w:tc>
          <w:tcPr>
            <w:tcW w:w="3240" w:type="dxa"/>
            <w:vAlign w:val="center"/>
          </w:tcPr>
          <w:p w:rsidR="009D0620" w:rsidRPr="00716035" w:rsidRDefault="009D0620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lang w:val="en-US"/>
              </w:rPr>
              <w:t>100 %</w:t>
            </w:r>
          </w:p>
        </w:tc>
      </w:tr>
    </w:tbl>
    <w:p w:rsidR="009D0620" w:rsidRPr="00716035" w:rsidRDefault="009D0620" w:rsidP="00716035">
      <w:pPr>
        <w:spacing w:after="0" w:line="240" w:lineRule="auto"/>
        <w:ind w:firstLine="284"/>
        <w:jc w:val="both"/>
        <w:rPr>
          <w:rFonts w:ascii="Cambria" w:hAnsi="Cambria" w:cs="Times New Roman"/>
        </w:rPr>
      </w:pPr>
    </w:p>
    <w:p w:rsidR="00DD0946" w:rsidRPr="00716035" w:rsidRDefault="00CF6B20" w:rsidP="00716035">
      <w:pPr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>По отношение на набелязаните ключови индикатори следва да се отчете:</w:t>
      </w:r>
    </w:p>
    <w:p w:rsidR="007B346C" w:rsidRPr="00716035" w:rsidRDefault="007B346C" w:rsidP="00716035">
      <w:pPr>
        <w:spacing w:after="0" w:line="240" w:lineRule="auto"/>
        <w:jc w:val="both"/>
        <w:rPr>
          <w:rFonts w:ascii="Cambria" w:hAnsi="Cambria" w:cs="Times New Roman"/>
          <w:b/>
          <w:i/>
        </w:rPr>
      </w:pPr>
    </w:p>
    <w:p w:rsidR="009D0620" w:rsidRPr="00716035" w:rsidRDefault="00885450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>Публични дейности, организирани от ДИ</w:t>
      </w:r>
    </w:p>
    <w:p w:rsidR="00C4743A" w:rsidRPr="00716035" w:rsidRDefault="00885450" w:rsidP="00716035">
      <w:pPr>
        <w:pStyle w:val="text"/>
        <w:spacing w:after="0"/>
        <w:ind w:firstLine="360"/>
        <w:rPr>
          <w:rFonts w:ascii="Cambria" w:hAnsi="Cambria"/>
          <w:bCs/>
          <w:sz w:val="22"/>
          <w:szCs w:val="22"/>
          <w:lang w:val="bg-BG"/>
        </w:rPr>
      </w:pPr>
      <w:r w:rsidRPr="00716035">
        <w:rPr>
          <w:rFonts w:ascii="Cambria" w:hAnsi="Cambria"/>
          <w:bCs/>
          <w:iCs/>
          <w:sz w:val="22"/>
          <w:szCs w:val="22"/>
          <w:lang w:val="bg-BG"/>
        </w:rPr>
        <w:t>В стремежа си да допринесе за публичния дебат, както и за обмена на експертиза по актуални външнополитически въпроси, Дипломатическият институт реализира поредица от публични лекции, дискусии и форуми. Участници бяха изявени експерти и дипломати, чието мнение и стратегическо виждане по темите представлява принос както към българската, така и към международната политическа и дипломатическа мисъл и практика. През 2020 г., като организатор, съорганизатор или с участието на представители на Института, бяха осъществени над 20 публични събития, голяма част от които се проведоха в онлайн формат с оглед на противоепидемичните мерки</w:t>
      </w:r>
      <w:r w:rsidR="00C4743A" w:rsidRPr="00716035">
        <w:rPr>
          <w:rFonts w:ascii="Cambria" w:hAnsi="Cambria"/>
          <w:bCs/>
          <w:sz w:val="22"/>
          <w:szCs w:val="22"/>
          <w:lang w:val="bg-BG"/>
        </w:rPr>
        <w:t xml:space="preserve">. </w:t>
      </w:r>
    </w:p>
    <w:p w:rsidR="000C1FCF" w:rsidRPr="00716035" w:rsidRDefault="000C1FCF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</w:p>
    <w:p w:rsidR="009D0620" w:rsidRPr="00716035" w:rsidRDefault="009D0620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>Служители от МВнР</w:t>
      </w:r>
      <w:r w:rsidR="00885450" w:rsidRPr="00716035">
        <w:rPr>
          <w:rFonts w:ascii="Cambria" w:hAnsi="Cambria" w:cs="Times New Roman"/>
          <w:b/>
          <w:bCs/>
          <w:color w:val="548DD4" w:themeColor="text2" w:themeTint="99"/>
        </w:rPr>
        <w:t xml:space="preserve"> и от държавната администрация</w:t>
      </w:r>
      <w:r w:rsidRPr="00716035">
        <w:rPr>
          <w:rFonts w:ascii="Cambria" w:hAnsi="Cambria" w:cs="Times New Roman"/>
          <w:b/>
          <w:bCs/>
          <w:color w:val="548DD4" w:themeColor="text2" w:themeTint="99"/>
        </w:rPr>
        <w:t>, обучавани в програми на Дипломатическия институт</w:t>
      </w:r>
    </w:p>
    <w:p w:rsidR="007B346C" w:rsidRPr="00716035" w:rsidRDefault="00885450" w:rsidP="00716035">
      <w:pPr>
        <w:pStyle w:val="text"/>
        <w:spacing w:after="0"/>
        <w:ind w:firstLine="360"/>
        <w:rPr>
          <w:rFonts w:ascii="Cambria" w:hAnsi="Cambria"/>
          <w:sz w:val="22"/>
          <w:szCs w:val="22"/>
          <w:lang w:val="bg-BG"/>
        </w:rPr>
      </w:pPr>
      <w:r w:rsidRPr="00716035">
        <w:rPr>
          <w:rFonts w:ascii="Cambria" w:hAnsi="Cambria"/>
          <w:bCs/>
          <w:sz w:val="22"/>
          <w:szCs w:val="22"/>
          <w:lang w:val="bg-BG"/>
        </w:rPr>
        <w:t>От 20 януари до 13 март 2020 г. се проведоха първите шест модула от задължителното обучение на новоназначените стажант-аташета. Курсът премина в присъствена форма, като в рамките на този период 23-мата участници успяха да се запознаят с основните професионални похвати и умения, които да им послужат в бъдещата дипломатическа кариера</w:t>
      </w:r>
      <w:r w:rsidR="000C1FCF" w:rsidRPr="00716035">
        <w:rPr>
          <w:rFonts w:ascii="Cambria" w:hAnsi="Cambria"/>
          <w:sz w:val="22"/>
          <w:szCs w:val="22"/>
          <w:lang w:val="bg-BG"/>
        </w:rPr>
        <w:t>.</w:t>
      </w:r>
      <w:r w:rsidRPr="00716035">
        <w:rPr>
          <w:rFonts w:ascii="Cambria" w:hAnsi="Cambria"/>
          <w:sz w:val="22"/>
          <w:szCs w:val="22"/>
          <w:lang w:val="bg-BG"/>
        </w:rPr>
        <w:t xml:space="preserve"> В периода 17 февруари – 31 юли 2020 г. ДИ организира съвместно с дирекция „Консулски отношения” шестнадесети квалификационен курс по „Консулска дипломация” за служители на МВнР на Р</w:t>
      </w:r>
      <w:r w:rsidR="00092FF7">
        <w:rPr>
          <w:rFonts w:ascii="Cambria" w:hAnsi="Cambria"/>
          <w:sz w:val="22"/>
          <w:szCs w:val="22"/>
          <w:lang w:val="bg-BG"/>
        </w:rPr>
        <w:t>.</w:t>
      </w:r>
      <w:r w:rsidRPr="00716035">
        <w:rPr>
          <w:rFonts w:ascii="Cambria" w:hAnsi="Cambria"/>
          <w:sz w:val="22"/>
          <w:szCs w:val="22"/>
          <w:lang w:val="bg-BG"/>
        </w:rPr>
        <w:t xml:space="preserve"> България, както и за представители на други институции</w:t>
      </w:r>
      <w:r w:rsidR="00092FF7">
        <w:rPr>
          <w:rFonts w:ascii="Cambria" w:hAnsi="Cambria"/>
          <w:sz w:val="22"/>
          <w:szCs w:val="22"/>
          <w:lang w:val="bg-BG"/>
        </w:rPr>
        <w:t>,</w:t>
      </w:r>
      <w:r w:rsidRPr="00716035">
        <w:rPr>
          <w:rFonts w:ascii="Cambria" w:hAnsi="Cambria"/>
          <w:sz w:val="22"/>
          <w:szCs w:val="22"/>
          <w:lang w:val="bg-BG"/>
        </w:rPr>
        <w:t xml:space="preserve"> имащи отношение към консулската работа. В обучението бяха включени определените от Кариерната комисия на МВнР дългосрочно командировани консулски длъжности лица и технически служители в Консулска служба. В периода 29 октомври - 3 декември 2020 г. , бе проведено специализирано онлайн обучение “Предмандатна подготовка”, предназначено за служители, определени за дългосрочна командировка в ЗП на Р</w:t>
      </w:r>
      <w:r w:rsidR="00092FF7">
        <w:rPr>
          <w:rFonts w:ascii="Cambria" w:hAnsi="Cambria"/>
          <w:sz w:val="22"/>
          <w:szCs w:val="22"/>
          <w:lang w:val="bg-BG"/>
        </w:rPr>
        <w:t>.</w:t>
      </w:r>
      <w:r w:rsidRPr="00716035">
        <w:rPr>
          <w:rFonts w:ascii="Cambria" w:hAnsi="Cambria"/>
          <w:sz w:val="22"/>
          <w:szCs w:val="22"/>
          <w:lang w:val="bg-BG"/>
        </w:rPr>
        <w:t xml:space="preserve"> България през календарната 2020 г. През 2019-2020 учебна година ДИ организира и финансира обучение за повишаване на индивидуалната квалификация на служителите на МВнР по 6 езика - английски, френски, испански, италиански, немски и руски.</w:t>
      </w:r>
    </w:p>
    <w:p w:rsidR="009D0620" w:rsidRPr="00716035" w:rsidRDefault="009D0620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ab/>
      </w:r>
    </w:p>
    <w:p w:rsidR="009D0620" w:rsidRPr="00716035" w:rsidRDefault="00927519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>Реализирани проекти/инициативи със задграничните мисии, с българските артистични общности в чужбина и други партньори от ДКИ</w:t>
      </w:r>
    </w:p>
    <w:p w:rsidR="00F17B9A" w:rsidRPr="00716035" w:rsidRDefault="00092FF7" w:rsidP="0071603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eastAsia="Times New Roman" w:hAnsi="Cambria" w:cs="Times New Roman"/>
        </w:rPr>
      </w:pPr>
      <w:r w:rsidRPr="00716035">
        <w:rPr>
          <w:rFonts w:ascii="Cambria" w:eastAsia="Times New Roman" w:hAnsi="Cambria" w:cs="Times New Roman"/>
        </w:rPr>
        <w:t xml:space="preserve">ДКИ осигурява за програмите на мисиите зад граница </w:t>
      </w:r>
      <w:r w:rsidR="00927519" w:rsidRPr="00716035">
        <w:rPr>
          <w:rFonts w:ascii="Cambria" w:eastAsia="Times New Roman" w:hAnsi="Cambria" w:cs="Times New Roman"/>
        </w:rPr>
        <w:t>"</w:t>
      </w:r>
      <w:r>
        <w:rPr>
          <w:rFonts w:ascii="Cambria" w:eastAsia="Times New Roman" w:hAnsi="Cambria" w:cs="Times New Roman"/>
        </w:rPr>
        <w:t>п</w:t>
      </w:r>
      <w:r w:rsidR="00927519" w:rsidRPr="00716035">
        <w:rPr>
          <w:rFonts w:ascii="Cambria" w:eastAsia="Times New Roman" w:hAnsi="Cambria" w:cs="Times New Roman"/>
        </w:rPr>
        <w:t xml:space="preserve">ътуващи експозиции" и филмови презентации. През 2020 г. акцент </w:t>
      </w:r>
      <w:r w:rsidR="002475FE">
        <w:rPr>
          <w:rFonts w:ascii="Cambria" w:eastAsia="Times New Roman" w:hAnsi="Cambria" w:cs="Times New Roman"/>
        </w:rPr>
        <w:t>б</w:t>
      </w:r>
      <w:r w:rsidR="00927519" w:rsidRPr="00716035">
        <w:rPr>
          <w:rFonts w:ascii="Cambria" w:eastAsia="Times New Roman" w:hAnsi="Cambria" w:cs="Times New Roman"/>
        </w:rPr>
        <w:t>е осигуряването на мисиите с дигитални копия на експозициите, свързани с културното наследство и националната идентичност. Общо 3 от пътуващи</w:t>
      </w:r>
      <w:r w:rsidR="002475FE">
        <w:rPr>
          <w:rFonts w:ascii="Cambria" w:eastAsia="Times New Roman" w:hAnsi="Cambria" w:cs="Times New Roman"/>
        </w:rPr>
        <w:t>те</w:t>
      </w:r>
      <w:r w:rsidR="00927519" w:rsidRPr="00716035">
        <w:rPr>
          <w:rFonts w:ascii="Cambria" w:eastAsia="Times New Roman" w:hAnsi="Cambria" w:cs="Times New Roman"/>
        </w:rPr>
        <w:t xml:space="preserve"> експозиции на ДКИ са представени в програмата на мисиите. В партньорство с Държавната агенция за българите в чужбина са отпечатани копия на 4 изложби от проекта „Пътуващи експозиции“. Филмовите презентации са другата линия на съвместната работа на ДКИ с дипломатическите представителства като през 2020 г. общо 6 филма са представени във филмови форуми в 10 страни. ДКИ участва и подпомага дейността на българската делегаци</w:t>
      </w:r>
      <w:r w:rsidR="002475FE">
        <w:rPr>
          <w:rFonts w:ascii="Cambria" w:eastAsia="Times New Roman" w:hAnsi="Cambria" w:cs="Times New Roman"/>
        </w:rPr>
        <w:t xml:space="preserve">я в МАВХ, реализирайки проекти </w:t>
      </w:r>
      <w:r w:rsidR="00927519" w:rsidRPr="00716035">
        <w:rPr>
          <w:rFonts w:ascii="Cambria" w:eastAsia="Times New Roman" w:hAnsi="Cambria" w:cs="Times New Roman"/>
        </w:rPr>
        <w:t>по темата за спасението на българските евреи и борбата с проявите на антисемитизъм.</w:t>
      </w:r>
    </w:p>
    <w:p w:rsidR="00885450" w:rsidRPr="00716035" w:rsidRDefault="00885450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</w:p>
    <w:p w:rsidR="00F17B9A" w:rsidRPr="00716035" w:rsidRDefault="00885450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  <w:b/>
          <w:bCs/>
          <w:color w:val="548DD4" w:themeColor="text2" w:themeTint="99"/>
        </w:rPr>
        <w:t>Управление и поддържане на Художествения фонд, експозиции в галерия „Мисията”</w:t>
      </w:r>
    </w:p>
    <w:p w:rsidR="00885450" w:rsidRPr="00716035" w:rsidRDefault="00885450" w:rsidP="0071603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Галерията „Мисията” е устойчив инструмент за установяване на партньорство с чужди и български културни организации. През 2020 г., въпреки усложнените обстоятелства, бяха организирани общо 9 изложби в галерия „Мисията“ и 3 изложби в представителните части на МВнР. Няколко от планираните изложби бяха отложени за 2021 г.</w:t>
      </w:r>
      <w:r w:rsidR="00927519" w:rsidRPr="00716035">
        <w:rPr>
          <w:rFonts w:ascii="Cambria" w:hAnsi="Cambria" w:cs="Times New Roman"/>
        </w:rPr>
        <w:t xml:space="preserve"> </w:t>
      </w:r>
      <w:r w:rsidRPr="00716035">
        <w:rPr>
          <w:rFonts w:ascii="Cambria" w:hAnsi="Cambria" w:cs="Times New Roman"/>
        </w:rPr>
        <w:t>Беше организирана и първата виртуална изложба в галерия „Мисията“, в която бяха представени най-новите художествени произведения, постъпили в Художествения фонд към МВнР.</w:t>
      </w:r>
    </w:p>
    <w:p w:rsidR="00885450" w:rsidRPr="00716035" w:rsidRDefault="00885450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</w:p>
    <w:p w:rsidR="00893030" w:rsidRPr="00716035" w:rsidRDefault="00092FF7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color w:val="548DD4" w:themeColor="text2" w:themeTint="99"/>
        </w:rPr>
      </w:pPr>
      <w:r>
        <w:rPr>
          <w:rFonts w:ascii="Cambria" w:hAnsi="Cambria" w:cs="Times New Roman"/>
          <w:b/>
          <w:bCs/>
          <w:color w:val="548DD4" w:themeColor="text2" w:themeTint="99"/>
        </w:rPr>
        <w:t>Публичност на дейността на МВн</w:t>
      </w:r>
      <w:r w:rsidR="009D0620" w:rsidRPr="00716035">
        <w:rPr>
          <w:rFonts w:ascii="Cambria" w:hAnsi="Cambria" w:cs="Times New Roman"/>
          <w:b/>
          <w:bCs/>
          <w:color w:val="548DD4" w:themeColor="text2" w:themeTint="99"/>
        </w:rPr>
        <w:t>Р</w:t>
      </w:r>
    </w:p>
    <w:p w:rsidR="00885450" w:rsidRPr="00716035" w:rsidRDefault="00885450" w:rsidP="00716035">
      <w:pPr>
        <w:pStyle w:val="NoSpacing"/>
        <w:ind w:firstLine="426"/>
        <w:jc w:val="both"/>
        <w:rPr>
          <w:rFonts w:ascii="Cambria" w:hAnsi="Cambria"/>
        </w:rPr>
      </w:pPr>
      <w:r w:rsidRPr="00716035">
        <w:rPr>
          <w:rFonts w:ascii="Cambria" w:hAnsi="Cambria"/>
        </w:rPr>
        <w:t>През 2020 г. Пресцентъра на МВНР бе отговорен за публичното 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срещи, визити, участия в международни конференции и форуми и други събития от обществено значим характер</w:t>
      </w:r>
      <w:r w:rsidR="002475FE">
        <w:rPr>
          <w:rFonts w:ascii="Cambria" w:hAnsi="Cambria"/>
        </w:rPr>
        <w:t xml:space="preserve">. Изготвяни бяха </w:t>
      </w:r>
      <w:r w:rsidRPr="00716035">
        <w:rPr>
          <w:rFonts w:ascii="Cambria" w:hAnsi="Cambria"/>
        </w:rPr>
        <w:t>изявления на министъра, както и интервюта за медиите. Поддържа</w:t>
      </w:r>
      <w:r w:rsidR="002475FE">
        <w:rPr>
          <w:rFonts w:ascii="Cambria" w:hAnsi="Cambria"/>
        </w:rPr>
        <w:t xml:space="preserve">н бе </w:t>
      </w:r>
      <w:r w:rsidRPr="00716035">
        <w:rPr>
          <w:rFonts w:ascii="Cambria" w:hAnsi="Cambria"/>
        </w:rPr>
        <w:t>активен диалог с представ</w:t>
      </w:r>
      <w:r w:rsidR="002475FE">
        <w:rPr>
          <w:rFonts w:ascii="Cambria" w:hAnsi="Cambria"/>
        </w:rPr>
        <w:t xml:space="preserve">ителите на медиите, организирани бяха </w:t>
      </w:r>
      <w:r w:rsidRPr="00716035">
        <w:rPr>
          <w:rFonts w:ascii="Cambria" w:hAnsi="Cambria"/>
        </w:rPr>
        <w:t>пресконфе</w:t>
      </w:r>
      <w:r w:rsidR="002475FE">
        <w:rPr>
          <w:rFonts w:ascii="Cambria" w:hAnsi="Cambria"/>
        </w:rPr>
        <w:t xml:space="preserve">ренции и интервюта, оповестявани бяха </w:t>
      </w:r>
      <w:r w:rsidRPr="00716035">
        <w:rPr>
          <w:rFonts w:ascii="Cambria" w:hAnsi="Cambria"/>
        </w:rPr>
        <w:t>официални позиции по външнополитически теми и събития. ПЦ поддържа унифицираното присъствие на МВнР и задграничните представителства на Република България в интернет, вк</w:t>
      </w:r>
      <w:r w:rsidR="002475FE">
        <w:rPr>
          <w:rFonts w:ascii="Cambria" w:hAnsi="Cambria"/>
        </w:rPr>
        <w:t>лючително всекидневно обновява</w:t>
      </w:r>
      <w:r w:rsidRPr="00716035">
        <w:rPr>
          <w:rFonts w:ascii="Cambria" w:hAnsi="Cambria"/>
        </w:rPr>
        <w:t xml:space="preserve"> на интернет страницата и профилите на министерството и на министъра в соци</w:t>
      </w:r>
      <w:r w:rsidR="003E247C">
        <w:rPr>
          <w:rFonts w:ascii="Cambria" w:hAnsi="Cambria"/>
        </w:rPr>
        <w:t>алните мрежи</w:t>
      </w:r>
    </w:p>
    <w:p w:rsidR="009D0620" w:rsidRPr="00716035" w:rsidRDefault="009D0620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</w:p>
    <w:p w:rsidR="007D68D0" w:rsidRPr="00716035" w:rsidRDefault="007D68D0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</w:p>
    <w:p w:rsidR="008B3BAB" w:rsidRPr="00716035" w:rsidRDefault="00A23258" w:rsidP="00716035">
      <w:pPr>
        <w:pStyle w:val="Heading1"/>
        <w:shd w:val="clear" w:color="auto" w:fill="FBD4B4" w:themeFill="accent6" w:themeFillTint="66"/>
        <w:ind w:firstLine="0"/>
        <w:rPr>
          <w:rFonts w:ascii="Cambria" w:hAnsi="Cambria"/>
          <w:sz w:val="22"/>
          <w:szCs w:val="22"/>
        </w:rPr>
      </w:pPr>
      <w:bookmarkStart w:id="0" w:name="_Toc492981931"/>
      <w:r w:rsidRPr="00716035">
        <w:rPr>
          <w:rFonts w:ascii="Cambria" w:hAnsi="Cambria"/>
          <w:sz w:val="22"/>
          <w:szCs w:val="22"/>
        </w:rPr>
        <w:t>Област на политика:</w:t>
      </w:r>
      <w:r w:rsidR="008B3BAB" w:rsidRPr="00716035">
        <w:rPr>
          <w:rFonts w:ascii="Cambria" w:hAnsi="Cambria"/>
          <w:sz w:val="22"/>
          <w:szCs w:val="22"/>
        </w:rPr>
        <w:t xml:space="preserve"> „активна двустранна и многостранна дипломация“</w:t>
      </w:r>
      <w:bookmarkEnd w:id="0"/>
    </w:p>
    <w:p w:rsidR="00A23258" w:rsidRPr="00716035" w:rsidRDefault="00A23258" w:rsidP="0071603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</w:p>
    <w:p w:rsidR="00257B22" w:rsidRPr="00716035" w:rsidRDefault="00880B7B" w:rsidP="00716035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При отчитане на заложените в</w:t>
      </w:r>
      <w:r w:rsidR="009026C4" w:rsidRPr="00716035">
        <w:rPr>
          <w:rFonts w:ascii="Cambria" w:hAnsi="Cambria" w:cs="Times New Roman"/>
        </w:rPr>
        <w:t xml:space="preserve"> Програмата за управление на Правителството на Република България за периода 2017-2021 външнополитически приоритети, през 20</w:t>
      </w:r>
      <w:r w:rsidR="00EC066D" w:rsidRPr="00716035">
        <w:rPr>
          <w:rFonts w:ascii="Cambria" w:hAnsi="Cambria" w:cs="Times New Roman"/>
        </w:rPr>
        <w:t>20</w:t>
      </w:r>
      <w:r w:rsidR="009026C4" w:rsidRPr="00716035">
        <w:rPr>
          <w:rFonts w:ascii="Cambria" w:hAnsi="Cambria" w:cs="Times New Roman"/>
        </w:rPr>
        <w:t xml:space="preserve"> г.</w:t>
      </w:r>
      <w:r w:rsidR="00703084">
        <w:rPr>
          <w:rFonts w:ascii="Cambria" w:hAnsi="Cambria" w:cs="Times New Roman"/>
        </w:rPr>
        <w:t xml:space="preserve"> </w:t>
      </w:r>
      <w:r w:rsidRPr="00716035">
        <w:rPr>
          <w:rFonts w:ascii="Cambria" w:hAnsi="Cambria" w:cs="Times New Roman"/>
        </w:rPr>
        <w:t xml:space="preserve">продължи </w:t>
      </w:r>
      <w:r w:rsidR="008B3BAB" w:rsidRPr="00716035">
        <w:rPr>
          <w:rFonts w:ascii="Cambria" w:hAnsi="Cambria" w:cs="Times New Roman"/>
        </w:rPr>
        <w:t>разработва</w:t>
      </w:r>
      <w:r w:rsidRPr="00716035">
        <w:rPr>
          <w:rFonts w:ascii="Cambria" w:hAnsi="Cambria" w:cs="Times New Roman"/>
        </w:rPr>
        <w:t xml:space="preserve">нето </w:t>
      </w:r>
      <w:r w:rsidR="008B3BAB" w:rsidRPr="00716035">
        <w:rPr>
          <w:rFonts w:ascii="Cambria" w:hAnsi="Cambria" w:cs="Times New Roman"/>
        </w:rPr>
        <w:t xml:space="preserve">и </w:t>
      </w:r>
      <w:r w:rsidRPr="00716035">
        <w:rPr>
          <w:rFonts w:ascii="Cambria" w:hAnsi="Cambria" w:cs="Times New Roman"/>
        </w:rPr>
        <w:t>отстояването</w:t>
      </w:r>
      <w:r w:rsidR="008B3BAB" w:rsidRPr="00716035">
        <w:rPr>
          <w:rFonts w:ascii="Cambria" w:hAnsi="Cambria" w:cs="Times New Roman"/>
        </w:rPr>
        <w:t xml:space="preserve"> на последователни </w:t>
      </w:r>
      <w:r w:rsidRPr="00716035">
        <w:rPr>
          <w:rFonts w:ascii="Cambria" w:hAnsi="Cambria" w:cs="Times New Roman"/>
        </w:rPr>
        <w:t xml:space="preserve">аргументирани </w:t>
      </w:r>
      <w:r w:rsidR="008B3BAB" w:rsidRPr="00716035">
        <w:rPr>
          <w:rFonts w:ascii="Cambria" w:hAnsi="Cambria" w:cs="Times New Roman"/>
        </w:rPr>
        <w:t xml:space="preserve">национални позиции за защита на </w:t>
      </w:r>
      <w:r w:rsidR="00B755E2" w:rsidRPr="00716035">
        <w:rPr>
          <w:rFonts w:ascii="Cambria" w:hAnsi="Cambria" w:cs="Times New Roman"/>
        </w:rPr>
        <w:t>българските</w:t>
      </w:r>
      <w:r w:rsidR="008B3BAB" w:rsidRPr="00716035">
        <w:rPr>
          <w:rFonts w:ascii="Cambria" w:hAnsi="Cambria" w:cs="Times New Roman"/>
        </w:rPr>
        <w:t xml:space="preserve"> интереси. </w:t>
      </w:r>
    </w:p>
    <w:p w:rsidR="008B15B4" w:rsidRPr="00716035" w:rsidRDefault="008B15B4" w:rsidP="00716035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Cambria" w:hAnsi="Cambria" w:cs="Times New Roman"/>
        </w:rPr>
      </w:pPr>
      <w:r w:rsidRPr="000E557D">
        <w:rPr>
          <w:rFonts w:ascii="Cambria" w:hAnsi="Cambria" w:cs="Times New Roman"/>
          <w:b/>
        </w:rPr>
        <w:t>Специфичният характер на политиката ограничава възможностите за нейното остойностяване с мерни единици.</w:t>
      </w:r>
      <w:r w:rsidRPr="00716035">
        <w:rPr>
          <w:rFonts w:ascii="Cambria" w:hAnsi="Cambria" w:cs="Times New Roman"/>
        </w:rPr>
        <w:t xml:space="preserve"> За целите на бюджетирането</w:t>
      </w:r>
      <w:r w:rsidR="00DB3BDE" w:rsidRPr="00716035">
        <w:rPr>
          <w:rFonts w:ascii="Cambria" w:hAnsi="Cambria" w:cs="Times New Roman"/>
        </w:rPr>
        <w:t xml:space="preserve"> </w:t>
      </w:r>
      <w:r w:rsidR="009026C4" w:rsidRPr="00716035">
        <w:rPr>
          <w:rFonts w:ascii="Cambria" w:hAnsi="Cambria" w:cs="Times New Roman"/>
        </w:rPr>
        <w:t>бяха</w:t>
      </w:r>
      <w:r w:rsidRPr="00716035">
        <w:rPr>
          <w:rFonts w:ascii="Cambria" w:hAnsi="Cambria" w:cs="Times New Roman"/>
        </w:rPr>
        <w:t xml:space="preserve"> подбрани определени индикатори, които да позволят мониторинг с условността, че </w:t>
      </w:r>
      <w:r w:rsidR="00B755E2" w:rsidRPr="00716035">
        <w:rPr>
          <w:rFonts w:ascii="Cambria" w:hAnsi="Cambria" w:cs="Times New Roman"/>
        </w:rPr>
        <w:t>ефектът от политиката като цяло е гарантирането на националната сигурност на страната</w:t>
      </w:r>
      <w:r w:rsidR="000E557D">
        <w:rPr>
          <w:rFonts w:ascii="Cambria" w:hAnsi="Cambria" w:cs="Times New Roman"/>
        </w:rPr>
        <w:t>. Дейностите са комплексни и с</w:t>
      </w:r>
      <w:r w:rsidR="00044170" w:rsidRPr="00716035">
        <w:rPr>
          <w:rFonts w:ascii="Cambria" w:hAnsi="Cambria" w:cs="Times New Roman"/>
        </w:rPr>
        <w:t xml:space="preserve"> развитие, което надхвърля рамката на програмното бюджетиране. </w:t>
      </w:r>
    </w:p>
    <w:p w:rsidR="008B3BAB" w:rsidRPr="00716035" w:rsidRDefault="008B3BAB" w:rsidP="00716035">
      <w:pPr>
        <w:spacing w:after="0" w:line="240" w:lineRule="auto"/>
        <w:jc w:val="both"/>
        <w:rPr>
          <w:rFonts w:ascii="Cambria" w:hAnsi="Cambria" w:cs="Times New Roman"/>
          <w:i/>
          <w:color w:val="000000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965"/>
        <w:gridCol w:w="3150"/>
        <w:gridCol w:w="3240"/>
      </w:tblGrid>
      <w:tr w:rsidR="002C0885" w:rsidRPr="00716035" w:rsidTr="006B69C6">
        <w:tc>
          <w:tcPr>
            <w:tcW w:w="9355" w:type="dxa"/>
            <w:gridSpan w:val="3"/>
            <w:shd w:val="clear" w:color="auto" w:fill="FABF8F" w:themeFill="accent6" w:themeFillTint="99"/>
          </w:tcPr>
          <w:p w:rsidR="002C0885" w:rsidRPr="00716035" w:rsidRDefault="002C0885" w:rsidP="00716035">
            <w:pPr>
              <w:jc w:val="center"/>
              <w:rPr>
                <w:rFonts w:ascii="Cambria" w:hAnsi="Cambria" w:cs="Times New Roman"/>
                <w:b/>
                <w:iCs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КЛЮЧОВИ ИНДИКАТОРИ ЗА ИЗПЪЛНЕНИЕ И ЦЕЛЕВИ СТОЙНОСТИ</w:t>
            </w:r>
          </w:p>
          <w:p w:rsidR="002C0885" w:rsidRPr="00716035" w:rsidRDefault="002C0885" w:rsidP="00716035">
            <w:pPr>
              <w:jc w:val="center"/>
              <w:rPr>
                <w:rFonts w:ascii="Cambria" w:hAnsi="Cambria" w:cs="Times New Roman"/>
                <w:b/>
                <w:bCs/>
                <w:iCs/>
              </w:rPr>
            </w:pPr>
            <w:r w:rsidRPr="00716035">
              <w:rPr>
                <w:rFonts w:ascii="Cambria" w:hAnsi="Cambria" w:cs="Times New Roman"/>
                <w:b/>
                <w:iCs/>
              </w:rPr>
              <w:t>Област на политика „Активна двустранна и многостранна дипломация“</w:t>
            </w:r>
          </w:p>
        </w:tc>
      </w:tr>
      <w:tr w:rsidR="002C0885" w:rsidRPr="00716035" w:rsidTr="006B69C6">
        <w:tc>
          <w:tcPr>
            <w:tcW w:w="2965" w:type="dxa"/>
            <w:shd w:val="clear" w:color="auto" w:fill="FABF8F" w:themeFill="accent6" w:themeFillTint="99"/>
          </w:tcPr>
          <w:p w:rsidR="002C0885" w:rsidRPr="00716035" w:rsidRDefault="002C0885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Наименование на индикатора</w:t>
            </w:r>
          </w:p>
        </w:tc>
        <w:tc>
          <w:tcPr>
            <w:tcW w:w="3150" w:type="dxa"/>
            <w:shd w:val="clear" w:color="auto" w:fill="FABF8F" w:themeFill="accent6" w:themeFillTint="99"/>
          </w:tcPr>
          <w:p w:rsidR="002C0885" w:rsidRPr="00716035" w:rsidRDefault="002C0885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</w:rPr>
              <w:t>Мерна единица</w:t>
            </w:r>
          </w:p>
        </w:tc>
        <w:tc>
          <w:tcPr>
            <w:tcW w:w="3240" w:type="dxa"/>
            <w:shd w:val="clear" w:color="auto" w:fill="FABF8F" w:themeFill="accent6" w:themeFillTint="99"/>
          </w:tcPr>
          <w:p w:rsidR="002C0885" w:rsidRPr="00716035" w:rsidRDefault="00EC066D" w:rsidP="00716035">
            <w:pPr>
              <w:jc w:val="both"/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b/>
                <w:bCs/>
                <w:iCs/>
              </w:rPr>
              <w:t>Отчет</w:t>
            </w:r>
            <w:r w:rsidR="002C0885" w:rsidRPr="00716035">
              <w:rPr>
                <w:rFonts w:ascii="Cambria" w:hAnsi="Cambria" w:cs="Times New Roman"/>
                <w:b/>
                <w:bCs/>
                <w:iCs/>
              </w:rPr>
              <w:t xml:space="preserve"> 20</w:t>
            </w:r>
            <w:r w:rsidRPr="00716035">
              <w:rPr>
                <w:rFonts w:ascii="Cambria" w:hAnsi="Cambria" w:cs="Times New Roman"/>
                <w:b/>
                <w:bCs/>
                <w:iCs/>
              </w:rPr>
              <w:t>20</w:t>
            </w:r>
            <w:r w:rsidR="002C0885" w:rsidRPr="00716035">
              <w:rPr>
                <w:rFonts w:ascii="Cambria" w:hAnsi="Cambria" w:cs="Times New Roman"/>
                <w:b/>
                <w:bCs/>
                <w:iCs/>
              </w:rPr>
              <w:t xml:space="preserve"> г.</w:t>
            </w:r>
          </w:p>
        </w:tc>
      </w:tr>
      <w:tr w:rsidR="00D905CC" w:rsidRPr="00716035" w:rsidTr="005B7296">
        <w:tc>
          <w:tcPr>
            <w:tcW w:w="2965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</w:rPr>
              <w:t>Ефективност на консулските служби на Република България в услуга на български и чуждестранни граждани</w:t>
            </w:r>
          </w:p>
        </w:tc>
        <w:tc>
          <w:tcPr>
            <w:tcW w:w="315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Степен на ефективност</w:t>
            </w:r>
          </w:p>
        </w:tc>
        <w:tc>
          <w:tcPr>
            <w:tcW w:w="324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Постигане на целевите стойности на показателите за изпълнение в програма 9</w:t>
            </w:r>
          </w:p>
        </w:tc>
      </w:tr>
      <w:tr w:rsidR="00D905CC" w:rsidRPr="00716035" w:rsidTr="005B7296">
        <w:tc>
          <w:tcPr>
            <w:tcW w:w="2965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</w:rPr>
              <w:t>Защита на български физически и юридически лица и български общности зад граница</w:t>
            </w:r>
          </w:p>
        </w:tc>
        <w:tc>
          <w:tcPr>
            <w:tcW w:w="315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Степен на ефективност / удовлетвореност</w:t>
            </w:r>
          </w:p>
        </w:tc>
        <w:tc>
          <w:tcPr>
            <w:tcW w:w="324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100 %</w:t>
            </w:r>
          </w:p>
        </w:tc>
      </w:tr>
      <w:tr w:rsidR="00D905CC" w:rsidRPr="00716035" w:rsidTr="005B7296">
        <w:tc>
          <w:tcPr>
            <w:tcW w:w="2965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</w:rPr>
              <w:t>Защита на България пред Съда на ЕС и Общия съд на ЕС</w:t>
            </w:r>
          </w:p>
        </w:tc>
        <w:tc>
          <w:tcPr>
            <w:tcW w:w="315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Степен на защита</w:t>
            </w:r>
          </w:p>
        </w:tc>
        <w:tc>
          <w:tcPr>
            <w:tcW w:w="324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iCs/>
              </w:rPr>
              <w:t>100 %</w:t>
            </w:r>
          </w:p>
        </w:tc>
      </w:tr>
      <w:tr w:rsidR="00D905CC" w:rsidRPr="00716035" w:rsidTr="005B7296">
        <w:tc>
          <w:tcPr>
            <w:tcW w:w="2965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</w:rPr>
              <w:t>Управление на българската помощ за развитие</w:t>
            </w:r>
          </w:p>
        </w:tc>
        <w:tc>
          <w:tcPr>
            <w:tcW w:w="315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 xml:space="preserve">Степен на усвояемост и съотносимост към приоритетите на българската външна политика </w:t>
            </w:r>
          </w:p>
        </w:tc>
        <w:tc>
          <w:tcPr>
            <w:tcW w:w="324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iCs/>
              </w:rPr>
              <w:t>100 %</w:t>
            </w:r>
          </w:p>
        </w:tc>
      </w:tr>
      <w:tr w:rsidR="00D905CC" w:rsidRPr="00716035" w:rsidTr="005B7296">
        <w:tc>
          <w:tcPr>
            <w:tcW w:w="2965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  <w:b/>
                <w:bCs/>
              </w:rPr>
            </w:pPr>
            <w:r w:rsidRPr="00716035">
              <w:rPr>
                <w:rFonts w:ascii="Cambria" w:hAnsi="Cambria" w:cs="Times New Roman"/>
              </w:rPr>
              <w:t xml:space="preserve">Участие на България във формирането на политики на ЕС и НАТО </w:t>
            </w:r>
          </w:p>
        </w:tc>
        <w:tc>
          <w:tcPr>
            <w:tcW w:w="315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Подготовка и степен на реализация на български позиции и инициативи</w:t>
            </w:r>
          </w:p>
        </w:tc>
        <w:tc>
          <w:tcPr>
            <w:tcW w:w="324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Постигане на целевите стойности на показателите за изпълнение в Програма 5</w:t>
            </w:r>
            <w:r w:rsidRPr="00092FF7">
              <w:rPr>
                <w:rFonts w:ascii="Cambria" w:hAnsi="Cambria" w:cs="Times New Roman"/>
              </w:rPr>
              <w:t xml:space="preserve"> </w:t>
            </w:r>
            <w:r w:rsidRPr="00716035">
              <w:rPr>
                <w:rFonts w:ascii="Cambria" w:hAnsi="Cambria" w:cs="Times New Roman"/>
              </w:rPr>
              <w:t>и 8</w:t>
            </w:r>
          </w:p>
        </w:tc>
      </w:tr>
      <w:tr w:rsidR="00D905CC" w:rsidRPr="00716035" w:rsidTr="005B7296">
        <w:tc>
          <w:tcPr>
            <w:tcW w:w="2965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Активни и прагматични двустранни отношения</w:t>
            </w:r>
          </w:p>
        </w:tc>
        <w:tc>
          <w:tcPr>
            <w:tcW w:w="315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Равнище и интензитет на политическия диалог, подписани двустранни споразумения и степен на тяхната реализация, подготвени, разменени двустранни посещения и др.</w:t>
            </w:r>
          </w:p>
        </w:tc>
        <w:tc>
          <w:tcPr>
            <w:tcW w:w="324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Постигане на целевите стойности на показателите за изпълнение в програми 6 и 8</w:t>
            </w:r>
          </w:p>
        </w:tc>
      </w:tr>
      <w:tr w:rsidR="00D905CC" w:rsidRPr="00716035" w:rsidTr="005B7296">
        <w:tc>
          <w:tcPr>
            <w:tcW w:w="2965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Дейност на България в глобални и регионални международни организации</w:t>
            </w:r>
            <w:r w:rsidRPr="00092FF7">
              <w:rPr>
                <w:rFonts w:ascii="Cambria" w:hAnsi="Cambria" w:cs="Times New Roman"/>
              </w:rPr>
              <w:t xml:space="preserve"> </w:t>
            </w:r>
            <w:r w:rsidRPr="00716035">
              <w:rPr>
                <w:rFonts w:ascii="Cambria" w:hAnsi="Cambria" w:cs="Times New Roman"/>
              </w:rPr>
              <w:t>и други многостранни формати</w:t>
            </w:r>
          </w:p>
        </w:tc>
        <w:tc>
          <w:tcPr>
            <w:tcW w:w="315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</w:rPr>
              <w:t>Постигнат успех за български инициативи и кандидатури</w:t>
            </w:r>
          </w:p>
        </w:tc>
        <w:tc>
          <w:tcPr>
            <w:tcW w:w="3240" w:type="dxa"/>
            <w:vAlign w:val="center"/>
          </w:tcPr>
          <w:p w:rsidR="00D905CC" w:rsidRPr="00716035" w:rsidRDefault="00D905CC" w:rsidP="00716035">
            <w:pPr>
              <w:rPr>
                <w:rFonts w:ascii="Cambria" w:hAnsi="Cambria" w:cs="Times New Roman"/>
              </w:rPr>
            </w:pPr>
            <w:r w:rsidRPr="00716035">
              <w:rPr>
                <w:rFonts w:ascii="Cambria" w:hAnsi="Cambria" w:cs="Times New Roman"/>
                <w:iCs/>
              </w:rPr>
              <w:t>100 %</w:t>
            </w:r>
          </w:p>
        </w:tc>
      </w:tr>
    </w:tbl>
    <w:p w:rsidR="002C0885" w:rsidRPr="00716035" w:rsidRDefault="002C0885" w:rsidP="00716035">
      <w:pPr>
        <w:spacing w:after="0" w:line="240" w:lineRule="auto"/>
        <w:jc w:val="both"/>
        <w:rPr>
          <w:rFonts w:ascii="Cambria" w:hAnsi="Cambria" w:cs="Times New Roman"/>
          <w:i/>
          <w:color w:val="000000"/>
        </w:rPr>
      </w:pPr>
    </w:p>
    <w:p w:rsidR="00D905CC" w:rsidRPr="00716035" w:rsidRDefault="00D905CC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  <w:r w:rsidRPr="00716035">
        <w:rPr>
          <w:rFonts w:ascii="Cambria" w:hAnsi="Cambria" w:cs="Times New Roman"/>
          <w:b/>
          <w:iCs/>
          <w:color w:val="548DD4" w:themeColor="text2" w:themeTint="99"/>
        </w:rPr>
        <w:t>Ефективност на консулските служби на Република България в услуга на български и чуждестранни граждани</w:t>
      </w:r>
    </w:p>
    <w:p w:rsidR="00B707A0" w:rsidRPr="00716035" w:rsidRDefault="00DD5F56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Cambria" w:hAnsi="Cambria" w:cs="Calibri"/>
        </w:rPr>
      </w:pPr>
      <w:r w:rsidRPr="00716035">
        <w:rPr>
          <w:rFonts w:ascii="Cambria" w:eastAsia="Times New Roman" w:hAnsi="Cambria" w:cs="Times New Roman"/>
          <w:bCs/>
          <w:iCs/>
          <w:lang w:eastAsia="ar-SA"/>
        </w:rPr>
        <w:t>През м. март 2020 г., беше създаден Извънреден щаб на МВнР под ръководството на заместник-министър Петко Дойков</w:t>
      </w:r>
      <w:r w:rsidR="00BD7701" w:rsidRPr="00716035">
        <w:rPr>
          <w:rFonts w:ascii="Cambria" w:hAnsi="Cambria" w:cs="Calibri"/>
        </w:rPr>
        <w:t>.</w:t>
      </w:r>
      <w:r w:rsidR="00B707A0" w:rsidRPr="00716035">
        <w:rPr>
          <w:rFonts w:ascii="Cambria" w:hAnsi="Cambria" w:cs="Calibri"/>
        </w:rPr>
        <w:t xml:space="preserve"> </w:t>
      </w:r>
      <w:r w:rsidR="00B707A0" w:rsidRPr="00716035">
        <w:rPr>
          <w:rFonts w:ascii="Cambria" w:hAnsi="Cambria" w:cs="Calibri"/>
          <w:bCs/>
          <w:iCs/>
        </w:rPr>
        <w:t xml:space="preserve">Дейността на ведомството беше насочена приоритетно към мерките за преодоляване и минимизиране на негативните ефекти от възникналата пандемия. Осигурено бе функционирането на денонощен информационен кол център с 5 (пет) стационарни и 1 (една) мобилна телефонни линии, на които гражданите получават денонощно информация и/или подават сигнали в случай на криза или </w:t>
      </w:r>
      <w:r w:rsidR="00F37763">
        <w:rPr>
          <w:rFonts w:ascii="Cambria" w:hAnsi="Cambria" w:cs="Calibri"/>
          <w:bCs/>
          <w:iCs/>
        </w:rPr>
        <w:t>инцидент</w:t>
      </w:r>
      <w:r w:rsidR="00B707A0" w:rsidRPr="00716035">
        <w:rPr>
          <w:rFonts w:ascii="Cambria" w:hAnsi="Cambria" w:cs="Calibri"/>
          <w:bCs/>
          <w:iCs/>
        </w:rPr>
        <w:t xml:space="preserve">. </w:t>
      </w:r>
    </w:p>
    <w:p w:rsidR="00B707A0" w:rsidRPr="00716035" w:rsidRDefault="00B707A0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Cambria" w:hAnsi="Cambria" w:cs="Calibri"/>
          <w:bCs/>
          <w:iCs/>
        </w:rPr>
      </w:pPr>
      <w:r w:rsidRPr="00716035">
        <w:rPr>
          <w:rFonts w:ascii="Cambria" w:hAnsi="Cambria" w:cs="Calibri"/>
          <w:bCs/>
          <w:iCs/>
        </w:rPr>
        <w:t>С обявяване на извънредното положение и с предприемането на противоепидемични мерки във всички европейски държани и в много други държави, мнозина български граждани решиха да се завърнат в страната. Това се превърна в огромно логистично и политическо предизвикателство предвид хилядите отменени полети и затворени граници и летища. МВнР оказа съдействие съвместно със задграничните ни представителства в чужбина на български граждани, граждани на ЕС и граждани на трети страни (Р. Сев. Македония) за прибиране в Бъ</w:t>
      </w:r>
      <w:r w:rsidR="00F37763">
        <w:rPr>
          <w:rFonts w:ascii="Cambria" w:hAnsi="Cambria" w:cs="Calibri"/>
          <w:bCs/>
          <w:iCs/>
        </w:rPr>
        <w:t xml:space="preserve">лгария, респ. в държавите им на </w:t>
      </w:r>
      <w:r w:rsidRPr="00716035">
        <w:rPr>
          <w:rFonts w:ascii="Cambria" w:hAnsi="Cambria" w:cs="Calibri"/>
          <w:bCs/>
          <w:iCs/>
        </w:rPr>
        <w:t>произход</w:t>
      </w:r>
      <w:r w:rsidR="00F37763">
        <w:rPr>
          <w:rFonts w:ascii="Cambria" w:hAnsi="Cambria" w:cs="Calibri"/>
          <w:bCs/>
          <w:iCs/>
        </w:rPr>
        <w:t xml:space="preserve"> </w:t>
      </w:r>
      <w:r w:rsidRPr="00716035">
        <w:rPr>
          <w:rFonts w:ascii="Cambria" w:hAnsi="Cambria" w:cs="Calibri"/>
          <w:bCs/>
          <w:iCs/>
        </w:rPr>
        <w:t>– около 7000 случая от 89 държави по света (3500 от Испания, 599 – Русия, над 300 – Кипър, 302 – Норвегия, 300- Словакия, както и от Дубай, Индия, Мали, Непал, Перу, Суринам, Нигерия, Южна Африка, Ар</w:t>
      </w:r>
      <w:r w:rsidR="00F37763">
        <w:rPr>
          <w:rFonts w:ascii="Cambria" w:hAnsi="Cambria" w:cs="Calibri"/>
          <w:bCs/>
          <w:iCs/>
        </w:rPr>
        <w:t>жентина, Саудитска арабия, Иран</w:t>
      </w:r>
      <w:r w:rsidRPr="00716035">
        <w:rPr>
          <w:rFonts w:ascii="Cambria" w:hAnsi="Cambria" w:cs="Calibri"/>
          <w:bCs/>
          <w:iCs/>
        </w:rPr>
        <w:t>).</w:t>
      </w:r>
    </w:p>
    <w:p w:rsidR="00257B22" w:rsidRPr="00716035" w:rsidRDefault="00B707A0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Cambria" w:hAnsi="Cambria" w:cs="Calibri"/>
          <w:bCs/>
          <w:iCs/>
        </w:rPr>
      </w:pPr>
      <w:r w:rsidRPr="00716035">
        <w:rPr>
          <w:rFonts w:ascii="Cambria" w:hAnsi="Cambria" w:cs="Calibri"/>
          <w:bCs/>
          <w:iCs/>
        </w:rPr>
        <w:t>Заради затварянето на границите в началото на пандемията стотици камиони бяха блокирани на границата между Словения и Италия. Дирекция СЦ организира непрекъснато съдействие по пропускането и придвижването през територията на Италия, Словения, Хърватия и Сърбия на български камиони.</w:t>
      </w:r>
    </w:p>
    <w:p w:rsidR="00B707A0" w:rsidRPr="00716035" w:rsidRDefault="00B707A0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Cambria" w:hAnsi="Cambria" w:cs="Calibri"/>
          <w:bCs/>
          <w:iCs/>
        </w:rPr>
      </w:pPr>
      <w:r w:rsidRPr="00716035">
        <w:rPr>
          <w:rFonts w:ascii="Cambria" w:hAnsi="Cambria" w:cs="Calibri"/>
          <w:bCs/>
          <w:iCs/>
        </w:rPr>
        <w:t xml:space="preserve">По инициатива на МВнР бяха направени изменения в § 10 от Закона за  изменение и допълнение на Закона за мерките и действията по време на извънредното положение, с които се предвижда, че срокът на валидност </w:t>
      </w:r>
      <w:r w:rsidR="00F37763">
        <w:rPr>
          <w:rFonts w:ascii="Cambria" w:hAnsi="Cambria" w:cs="Calibri"/>
          <w:bCs/>
          <w:iCs/>
        </w:rPr>
        <w:t>на личните карти и паспорти, кои</w:t>
      </w:r>
      <w:r w:rsidRPr="00716035">
        <w:rPr>
          <w:rFonts w:ascii="Cambria" w:hAnsi="Cambria" w:cs="Calibri"/>
          <w:bCs/>
          <w:iCs/>
        </w:rPr>
        <w:t>то изтича</w:t>
      </w:r>
      <w:r w:rsidR="00F37763">
        <w:rPr>
          <w:rFonts w:ascii="Cambria" w:hAnsi="Cambria" w:cs="Calibri"/>
          <w:bCs/>
          <w:iCs/>
        </w:rPr>
        <w:t>т</w:t>
      </w:r>
      <w:r w:rsidRPr="00716035">
        <w:rPr>
          <w:rFonts w:ascii="Cambria" w:hAnsi="Cambria" w:cs="Calibri"/>
          <w:bCs/>
          <w:iCs/>
        </w:rPr>
        <w:t xml:space="preserve"> в периода от 13 март 2020 г. до 31 януари 2021 г., се удължава с 6 месеца.</w:t>
      </w:r>
    </w:p>
    <w:p w:rsidR="007D68D0" w:rsidRPr="00716035" w:rsidRDefault="007D68D0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Cambria" w:hAnsi="Cambria"/>
        </w:rPr>
      </w:pPr>
    </w:p>
    <w:p w:rsidR="00D905CC" w:rsidRPr="00716035" w:rsidRDefault="00D905CC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  <w:r w:rsidRPr="00716035">
        <w:rPr>
          <w:rFonts w:ascii="Cambria" w:hAnsi="Cambria" w:cs="Times New Roman"/>
          <w:b/>
          <w:iCs/>
          <w:color w:val="548DD4" w:themeColor="text2" w:themeTint="99"/>
        </w:rPr>
        <w:t>Защита на български физически и юридически лица и български общности зад граница</w:t>
      </w:r>
    </w:p>
    <w:p w:rsidR="00B819FF" w:rsidRPr="00716035" w:rsidRDefault="006E6BC8" w:rsidP="00716035">
      <w:pPr>
        <w:tabs>
          <w:tab w:val="num" w:pos="0"/>
          <w:tab w:val="left" w:pos="540"/>
        </w:tabs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Cambria" w:hAnsi="Cambria" w:cs="Calibri"/>
        </w:rPr>
      </w:pPr>
      <w:r w:rsidRPr="00716035">
        <w:rPr>
          <w:rFonts w:ascii="Cambria" w:hAnsi="Cambria" w:cs="Calibri"/>
          <w:bCs/>
          <w:iCs/>
        </w:rPr>
        <w:t xml:space="preserve">МВнР продължи да полага настойчиви усилия за защита на правата и интересите на българските физически и юридически лица извън пределите на нашата страна в контекста на извънредната ситуация с </w:t>
      </w:r>
      <w:r w:rsidRPr="00716035">
        <w:rPr>
          <w:rFonts w:ascii="Cambria" w:hAnsi="Cambria" w:cs="Calibri"/>
          <w:bCs/>
          <w:iCs/>
          <w:lang w:val="en-US"/>
        </w:rPr>
        <w:t>COVID</w:t>
      </w:r>
      <w:r w:rsidRPr="00716035">
        <w:rPr>
          <w:rFonts w:ascii="Cambria" w:hAnsi="Cambria" w:cs="Calibri"/>
          <w:bCs/>
          <w:iCs/>
        </w:rPr>
        <w:t xml:space="preserve"> -19.</w:t>
      </w:r>
      <w:r w:rsidR="00B819FF" w:rsidRPr="00716035">
        <w:rPr>
          <w:rFonts w:ascii="Cambria" w:hAnsi="Cambria" w:cs="Calibri"/>
          <w:bCs/>
          <w:iCs/>
        </w:rPr>
        <w:t xml:space="preserve"> Продължи и ежедневната дейност на ДКО по защита правата и интересите на българските граждани в чужбина по следните направления: защитата на правата и интересите на малолетните и непълнолетните български граждани, както и на нашите сънародници от уязвимите социални групи (лица с увреждания, възрастни хора и др.); оказвана бе консулска защита и бе организирано завръщане в нашата страна на български граждани пострадали или изпаднали в бедстващо положение</w:t>
      </w:r>
      <w:r w:rsidR="00733BDA">
        <w:rPr>
          <w:rFonts w:ascii="Cambria" w:hAnsi="Cambria" w:cs="Calibri"/>
          <w:bCs/>
          <w:iCs/>
        </w:rPr>
        <w:t xml:space="preserve"> поради различни обстоятелства; </w:t>
      </w:r>
      <w:r w:rsidR="00B819FF" w:rsidRPr="00716035">
        <w:rPr>
          <w:rFonts w:ascii="Cambria" w:hAnsi="Cambria" w:cs="Calibri"/>
          <w:bCs/>
          <w:iCs/>
        </w:rPr>
        <w:t>продължиха дейностите по защитата на правата на български граждани, които са станали обект на трудова експлоатация или трафик на хора; съдействие бе оказано на български граждани за уреждане на трудово-правни и пенсионни въпроси; организирано бе транспортирането на български граждани с влошено здравословно състояние до България за продължаване на тяхното лечение в наши болнични заведения;</w:t>
      </w:r>
      <w:r w:rsidR="00677D82" w:rsidRPr="00716035">
        <w:rPr>
          <w:rFonts w:ascii="Cambria" w:hAnsi="Cambria" w:cs="Calibri"/>
          <w:bCs/>
          <w:iCs/>
        </w:rPr>
        <w:t xml:space="preserve"> </w:t>
      </w:r>
      <w:r w:rsidR="00B819FF" w:rsidRPr="00716035">
        <w:rPr>
          <w:rFonts w:ascii="Cambria" w:hAnsi="Cambria" w:cs="Calibri"/>
          <w:bCs/>
          <w:iCs/>
        </w:rPr>
        <w:t>оказано бе съдействие в множество случаи на задържани български граждани в чужбина, като се отчита нарастване на броя задържани за престъпления, свързани със „скиминг“ и „трафик на хора“ по Балканският път за трафик на хора;</w:t>
      </w:r>
      <w:r w:rsidR="00677D82" w:rsidRPr="00716035">
        <w:rPr>
          <w:rFonts w:ascii="Cambria" w:hAnsi="Cambria" w:cs="Calibri"/>
          <w:bCs/>
          <w:iCs/>
        </w:rPr>
        <w:t xml:space="preserve"> </w:t>
      </w:r>
      <w:r w:rsidR="00B819FF" w:rsidRPr="00716035">
        <w:rPr>
          <w:rFonts w:ascii="Cambria" w:hAnsi="Cambria" w:cs="Calibri"/>
          <w:bCs/>
          <w:iCs/>
        </w:rPr>
        <w:t>оказвано бе ежедневно съдействие на български граждани за снабдяване по служебен път с документи, свързани с гражданско състояние, ПТП, медицински и съдебни експертизи и др.</w:t>
      </w:r>
    </w:p>
    <w:p w:rsidR="00C264F0" w:rsidRPr="00716035" w:rsidRDefault="00677D82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Cambria" w:hAnsi="Cambria"/>
        </w:rPr>
      </w:pPr>
      <w:r w:rsidRPr="00716035">
        <w:rPr>
          <w:rFonts w:ascii="Cambria" w:hAnsi="Cambria"/>
        </w:rPr>
        <w:t>МВнР продължи да работи активно и последователно за гарантиране на правата и интересите на българските общности в чужбина, за поддържане на българската идентичност, език и култура на нашите сънародници, в съответствие с приоритет № 3 от Програмата за управление на Правителството за периода 2017- 2021 г. С  ПМС, прието на 20 февруари 2020 г., бяха одобрени допълнителни разходи в размер на 500 000 лева за финансиране на проекти на български общности в Република Албания, Република Сърбия, Република Косово, Украйна и Република Молдова, както и на проекти на граждани на Република Северна Македония с българско самосъзнание. След приемане на постановлението, МВнР разработи национална Програма за подкрепа на организации на български общности</w:t>
      </w:r>
      <w:r w:rsidR="0058045B">
        <w:rPr>
          <w:rFonts w:ascii="Cambria" w:hAnsi="Cambria"/>
        </w:rPr>
        <w:t>,</w:t>
      </w:r>
      <w:r w:rsidRPr="00716035">
        <w:rPr>
          <w:rFonts w:ascii="Cambria" w:hAnsi="Cambria"/>
        </w:rPr>
        <w:t xml:space="preserve"> имаща за цел запазването и развитието на българския дух, културна самобитност и национално съзнание на българските общности в тези страни</w:t>
      </w:r>
      <w:r w:rsidR="007D68D0" w:rsidRPr="00716035">
        <w:rPr>
          <w:rFonts w:ascii="Cambria" w:hAnsi="Cambria" w:cs="Calibri"/>
        </w:rPr>
        <w:t>.</w:t>
      </w:r>
    </w:p>
    <w:p w:rsidR="00C264F0" w:rsidRPr="00716035" w:rsidRDefault="00C264F0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Cambria" w:hAnsi="Cambria"/>
        </w:rPr>
      </w:pPr>
    </w:p>
    <w:p w:rsidR="00C264F0" w:rsidRPr="00716035" w:rsidRDefault="00D905CC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716035">
        <w:rPr>
          <w:rFonts w:ascii="Cambria" w:hAnsi="Cambria" w:cs="Times New Roman"/>
          <w:b/>
          <w:iCs/>
          <w:color w:val="548DD4" w:themeColor="text2" w:themeTint="99"/>
        </w:rPr>
        <w:t>Защита на България пред Съда на ЕС и Общия съд на ЕС</w:t>
      </w:r>
    </w:p>
    <w:p w:rsidR="00FC2875" w:rsidRPr="00716035" w:rsidRDefault="00FC2875" w:rsidP="00716035">
      <w:pPr>
        <w:tabs>
          <w:tab w:val="num" w:pos="720"/>
        </w:tabs>
        <w:spacing w:after="0" w:line="240" w:lineRule="auto"/>
        <w:ind w:firstLine="288"/>
        <w:jc w:val="both"/>
        <w:textAlignment w:val="center"/>
        <w:rPr>
          <w:rFonts w:ascii="Cambria" w:hAnsi="Cambria" w:cs="Calibri"/>
        </w:rPr>
      </w:pPr>
      <w:r w:rsidRPr="00716035">
        <w:rPr>
          <w:rFonts w:ascii="Cambria" w:hAnsi="Cambria" w:cs="Calibri"/>
        </w:rPr>
        <w:t xml:space="preserve">През 2020 г. се работи по три дела срещу Република България за установяване на неизпълнение на задължения, произтичащи от правото на Съюза. По едното дело в областта на железопътния транспорт се проведе съдебно заседание с участието на българското правителство (дело С-33/19). На 28 май Съдът на ЕС постанови решение, с което констатира, че България не е изпълнила задължения по Директивата относно безопасността на железопътния транспорт. Част от доводите, представени от българското правителство по делото, са приети. </w:t>
      </w:r>
    </w:p>
    <w:p w:rsidR="00FC2875" w:rsidRPr="00716035" w:rsidRDefault="00FC2875" w:rsidP="00716035">
      <w:pPr>
        <w:tabs>
          <w:tab w:val="num" w:pos="720"/>
        </w:tabs>
        <w:spacing w:after="0" w:line="240" w:lineRule="auto"/>
        <w:ind w:firstLine="288"/>
        <w:jc w:val="both"/>
        <w:textAlignment w:val="center"/>
        <w:rPr>
          <w:rFonts w:ascii="Cambria" w:hAnsi="Cambria" w:cs="Calibri"/>
        </w:rPr>
      </w:pPr>
      <w:r w:rsidRPr="00716035">
        <w:rPr>
          <w:rFonts w:ascii="Cambria" w:hAnsi="Cambria" w:cs="Calibri"/>
        </w:rPr>
        <w:t xml:space="preserve">Другите две дела са в областта на околната среда. По едното от тях бяха представени на Съда на ЕС последователно писмена защита и дуплика на българското правителство (дело С-730/19). По делото Европейската комисия твърди систематично и постоянно неспазване на пределно допустимите почасови и дневни стойности за серен диоксид в зона BG0006 (Югоизточна) на Република България. </w:t>
      </w:r>
    </w:p>
    <w:p w:rsidR="00FC2875" w:rsidRPr="00716035" w:rsidRDefault="00FC2875" w:rsidP="00716035">
      <w:pPr>
        <w:tabs>
          <w:tab w:val="num" w:pos="720"/>
        </w:tabs>
        <w:spacing w:after="0" w:line="240" w:lineRule="auto"/>
        <w:ind w:firstLine="288"/>
        <w:jc w:val="both"/>
        <w:textAlignment w:val="center"/>
        <w:rPr>
          <w:rFonts w:ascii="Cambria" w:hAnsi="Cambria" w:cs="Calibri"/>
        </w:rPr>
      </w:pPr>
      <w:r w:rsidRPr="00716035">
        <w:rPr>
          <w:rFonts w:ascii="Cambria" w:hAnsi="Cambria" w:cs="Calibri"/>
        </w:rPr>
        <w:t>По другото дело в областта на околната среда Европейската комисия твърди, че Република България не е прегледала и актуализирала определени елементи от морската си стратегия в срок до 15 юли 2018 г . (дело С-510/20). По делото е представена писмената защита на България.</w:t>
      </w:r>
    </w:p>
    <w:p w:rsidR="00FC2875" w:rsidRPr="00716035" w:rsidRDefault="00FC2875" w:rsidP="00716035">
      <w:pPr>
        <w:tabs>
          <w:tab w:val="num" w:pos="720"/>
        </w:tabs>
        <w:spacing w:after="0" w:line="240" w:lineRule="auto"/>
        <w:ind w:firstLine="288"/>
        <w:jc w:val="both"/>
        <w:textAlignment w:val="center"/>
        <w:rPr>
          <w:rFonts w:ascii="Cambria" w:hAnsi="Cambria" w:cs="Calibri"/>
        </w:rPr>
      </w:pPr>
      <w:r w:rsidRPr="00716035">
        <w:rPr>
          <w:rFonts w:ascii="Cambria" w:hAnsi="Cambria" w:cs="Calibri"/>
        </w:rPr>
        <w:t>Беше представено на Общия съд на ЕС изявление при встъпване на България по дело срещу Европейската комисия (дело Т-136/19). Делото е във връзка с установена от Комисията злоупотреба с господстващо положение на „Български енергиен холдинг“ ЕАД и неговите дъщерни дружества в газовия сектор. С жалбата се иска отмяна на съответното решение на Комисията и отмяна или намаляване на размера на наложената санкция, която е повече от 77 млн. евро.</w:t>
      </w:r>
    </w:p>
    <w:p w:rsidR="00FC2875" w:rsidRPr="00716035" w:rsidRDefault="00FC2875" w:rsidP="00716035">
      <w:pPr>
        <w:tabs>
          <w:tab w:val="num" w:pos="720"/>
        </w:tabs>
        <w:spacing w:after="0" w:line="240" w:lineRule="auto"/>
        <w:ind w:firstLine="288"/>
        <w:jc w:val="both"/>
        <w:textAlignment w:val="center"/>
        <w:rPr>
          <w:rFonts w:ascii="Cambria" w:hAnsi="Cambria" w:cs="Calibri"/>
        </w:rPr>
      </w:pPr>
      <w:r w:rsidRPr="00716035">
        <w:rPr>
          <w:rFonts w:ascii="Cambria" w:hAnsi="Cambria" w:cs="Calibri"/>
        </w:rPr>
        <w:t>България подаде три жалби относно отмяната, частично или в цялост, на три законодателни акта от Пакет Мобилност I, на основание на които Съдът образува три дела (дела С- 543/20, С -544/20, С-545/20).</w:t>
      </w:r>
    </w:p>
    <w:p w:rsidR="00FC2875" w:rsidRPr="00716035" w:rsidRDefault="00FC2875" w:rsidP="00716035">
      <w:pPr>
        <w:tabs>
          <w:tab w:val="num" w:pos="720"/>
        </w:tabs>
        <w:spacing w:after="0" w:line="240" w:lineRule="auto"/>
        <w:ind w:firstLine="288"/>
        <w:jc w:val="both"/>
        <w:textAlignment w:val="center"/>
        <w:rPr>
          <w:rFonts w:ascii="Cambria" w:hAnsi="Cambria" w:cs="Calibri"/>
        </w:rPr>
      </w:pPr>
      <w:r w:rsidRPr="00716035">
        <w:rPr>
          <w:rFonts w:ascii="Cambria" w:hAnsi="Cambria" w:cs="Calibri"/>
        </w:rPr>
        <w:t xml:space="preserve">Беше изготвен и изпратен на Съда на ЕС писмен отговор на въпрос, отправен на основание чл. 24, втора алинея от Протокола относно Статута на Съда на ЕС във връзка с дело С-872/19 Р. С това България изложи своето становище и аргументи по важен въпрос относно способите за правна защита, уредени в правото на Съюза, по който Съдът не се е произнасял към настоящия момент. </w:t>
      </w:r>
    </w:p>
    <w:p w:rsidR="00FC2875" w:rsidRPr="00716035" w:rsidRDefault="00FC2875" w:rsidP="00716035">
      <w:pPr>
        <w:tabs>
          <w:tab w:val="num" w:pos="720"/>
        </w:tabs>
        <w:spacing w:after="0" w:line="240" w:lineRule="auto"/>
        <w:ind w:firstLine="288"/>
        <w:jc w:val="both"/>
        <w:textAlignment w:val="center"/>
        <w:rPr>
          <w:rFonts w:ascii="Cambria" w:hAnsi="Cambria" w:cs="Calibri"/>
        </w:rPr>
      </w:pPr>
      <w:r w:rsidRPr="00716035">
        <w:rPr>
          <w:rFonts w:ascii="Cambria" w:hAnsi="Cambria" w:cs="Calibri"/>
        </w:rPr>
        <w:t>Служители в дирекцията участваха в две съдебни заседания, като за целта бяха изготвени устни изказвания от името на българското правителство. Едното съдебното заседание е по дело, образувано по искане на Европейския парламент за становище на Съда на ЕС относно присъединяването на ЕС към Конвенцията на Съвета на Европа за превенция и борба с насилието над жени и домашното насилие (Истанбулската конвенция) (Становище 1/19). Второто заседание е по българско преюдициално дело, засягащо въпроси от областта на координацията на системите за социална сигурност (дело С-784/19). И двете дела са от голямо значение за целия ЕС, по тях участват и други държави членки и се гледат от голям състав на Съда на ЕС.</w:t>
      </w:r>
    </w:p>
    <w:p w:rsidR="006E6336" w:rsidRPr="00716035" w:rsidRDefault="00FC2875" w:rsidP="00716035">
      <w:pPr>
        <w:tabs>
          <w:tab w:val="num" w:pos="720"/>
        </w:tabs>
        <w:spacing w:after="0" w:line="240" w:lineRule="auto"/>
        <w:ind w:firstLine="288"/>
        <w:jc w:val="both"/>
        <w:textAlignment w:val="center"/>
        <w:rPr>
          <w:rFonts w:ascii="Cambria" w:hAnsi="Cambria"/>
          <w:bCs/>
        </w:rPr>
      </w:pPr>
      <w:r w:rsidRPr="00716035">
        <w:rPr>
          <w:rFonts w:ascii="Cambria" w:hAnsi="Cambria" w:cs="Calibri"/>
        </w:rPr>
        <w:t xml:space="preserve">През отчетния период българското правителство участва в девет дела в различни области, образувани на основание на преюдициални запитвания от български съдилища и по две дела, образувани по преюдициални запитвания на юрисдикции на други държави членки. </w:t>
      </w:r>
      <w:r w:rsidR="00A60AA2">
        <w:rPr>
          <w:rFonts w:ascii="Cambria" w:hAnsi="Cambria" w:cs="Calibri"/>
        </w:rPr>
        <w:t xml:space="preserve">Изготвени </w:t>
      </w:r>
      <w:r w:rsidRPr="00716035">
        <w:rPr>
          <w:rFonts w:ascii="Cambria" w:hAnsi="Cambria" w:cs="Calibri"/>
        </w:rPr>
        <w:t>и представ</w:t>
      </w:r>
      <w:r w:rsidR="00A60AA2">
        <w:rPr>
          <w:rFonts w:ascii="Cambria" w:hAnsi="Cambria" w:cs="Calibri"/>
        </w:rPr>
        <w:t xml:space="preserve">ени пред </w:t>
      </w:r>
      <w:r w:rsidRPr="00716035">
        <w:rPr>
          <w:rFonts w:ascii="Cambria" w:hAnsi="Cambria" w:cs="Calibri"/>
        </w:rPr>
        <w:t xml:space="preserve">Съда на ЕС </w:t>
      </w:r>
      <w:r w:rsidR="00A60AA2">
        <w:rPr>
          <w:rFonts w:ascii="Cambria" w:hAnsi="Cambria" w:cs="Calibri"/>
        </w:rPr>
        <w:t xml:space="preserve">бяха </w:t>
      </w:r>
      <w:r w:rsidRPr="00716035">
        <w:rPr>
          <w:rFonts w:ascii="Cambria" w:hAnsi="Cambria" w:cs="Calibri"/>
        </w:rPr>
        <w:t>писмени бележки по осем преюдициални дела (С-784/19, С-845/19 и С-863/19, С-4/20, С-76/20, С-319/19, C-206/20, С-257/20, С-280/20). Бяха изготвени писмени отговори на въпроси, поставени от Съда на ЕС към българското правителство по три дела, две от които се разглеждат по реда на спешното производство (С-544/19, С-414/20 PPU, С-648/20 PPU)</w:t>
      </w:r>
      <w:r w:rsidR="006E6336" w:rsidRPr="00716035">
        <w:rPr>
          <w:rFonts w:ascii="Cambria" w:hAnsi="Cambria"/>
          <w:bCs/>
        </w:rPr>
        <w:t xml:space="preserve">. </w:t>
      </w:r>
    </w:p>
    <w:p w:rsidR="006E6336" w:rsidRPr="00716035" w:rsidRDefault="006E6336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</w:p>
    <w:p w:rsidR="00D905CC" w:rsidRPr="00716035" w:rsidRDefault="00D905CC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  <w:r w:rsidRPr="00716035">
        <w:rPr>
          <w:rFonts w:ascii="Cambria" w:hAnsi="Cambria" w:cs="Times New Roman"/>
          <w:b/>
          <w:iCs/>
          <w:color w:val="548DD4" w:themeColor="text2" w:themeTint="99"/>
        </w:rPr>
        <w:t>Управление на българската помощ за развитие</w:t>
      </w:r>
    </w:p>
    <w:p w:rsidR="000878A1" w:rsidRPr="00716035" w:rsidRDefault="000878A1" w:rsidP="00716035">
      <w:pPr>
        <w:spacing w:after="0" w:line="240" w:lineRule="auto"/>
        <w:ind w:firstLine="360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 xml:space="preserve">През годината беше постигната висока степен на изпълнение на следните програмни цели: </w:t>
      </w:r>
    </w:p>
    <w:p w:rsidR="000878A1" w:rsidRPr="00716035" w:rsidRDefault="000878A1" w:rsidP="00716035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>Осъществяване на българската политика на сътрудничество за развитие, на общата политика на сътрудничество за развитие на ЕС, новия Европейски консенсус за развитие и Европейския консенсус за хуманитарна помощ;</w:t>
      </w:r>
    </w:p>
    <w:p w:rsidR="000878A1" w:rsidRPr="00716035" w:rsidRDefault="000878A1" w:rsidP="00716035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 xml:space="preserve">Развитие на сътрудничество за развитие като част от външната политика на България и усилията за постигане на устойчиво развитие, укрепване на международния мир, сигурност и стабилност на основата на ценностите на демокрацията, плурализма, върховенство на закона и зачитането на правата на човека; </w:t>
      </w:r>
    </w:p>
    <w:p w:rsidR="000878A1" w:rsidRPr="00716035" w:rsidRDefault="000878A1" w:rsidP="00716035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 w:cs="Times New Roman"/>
        </w:rPr>
      </w:pPr>
      <w:r w:rsidRPr="00716035">
        <w:rPr>
          <w:rFonts w:ascii="Cambria" w:hAnsi="Cambria" w:cs="Times New Roman"/>
        </w:rPr>
        <w:t xml:space="preserve">Съдействие за постигане в страните-партньори на Целите за устойчиво развитие от Дневен ред 2030 на ООН; </w:t>
      </w:r>
    </w:p>
    <w:p w:rsidR="00D905CC" w:rsidRPr="00716035" w:rsidRDefault="00B828BD" w:rsidP="00716035">
      <w:pPr>
        <w:spacing w:after="0" w:line="240" w:lineRule="auto"/>
        <w:ind w:firstLine="360"/>
        <w:jc w:val="both"/>
        <w:rPr>
          <w:rFonts w:ascii="Cambria" w:hAnsi="Cambria"/>
        </w:rPr>
      </w:pPr>
      <w:r>
        <w:rPr>
          <w:rFonts w:ascii="Cambria" w:hAnsi="Cambria" w:cs="Times New Roman"/>
        </w:rPr>
        <w:t>Положени бяха усилия за о</w:t>
      </w:r>
      <w:r w:rsidR="000878A1" w:rsidRPr="00716035">
        <w:rPr>
          <w:rFonts w:ascii="Cambria" w:hAnsi="Cambria" w:cs="Times New Roman"/>
        </w:rPr>
        <w:t>сигуряване на прозрачност, видимост и популяризиране на българската помощ за развитие в страните-партньори, вкл. чрез общи и координирани действия с държавите членки на ЕС, Европейската комисия, както и с други донори</w:t>
      </w:r>
      <w:r w:rsidR="007D68D0" w:rsidRPr="00716035">
        <w:rPr>
          <w:rFonts w:ascii="Cambria" w:hAnsi="Cambria"/>
        </w:rPr>
        <w:t>.</w:t>
      </w:r>
      <w:r w:rsidR="000878A1" w:rsidRPr="00716035">
        <w:rPr>
          <w:rFonts w:ascii="Cambria" w:hAnsi="Cambria"/>
        </w:rPr>
        <w:t xml:space="preserve"> Изпълнението на целите беше силно повлияно от разгърналата се пандемия от </w:t>
      </w:r>
      <w:r w:rsidR="000878A1" w:rsidRPr="00716035">
        <w:rPr>
          <w:rFonts w:ascii="Cambria" w:hAnsi="Cambria"/>
          <w:lang w:val="en-US"/>
        </w:rPr>
        <w:t>COVID</w:t>
      </w:r>
      <w:r w:rsidR="000878A1" w:rsidRPr="00716035">
        <w:rPr>
          <w:rFonts w:ascii="Cambria" w:hAnsi="Cambria"/>
        </w:rPr>
        <w:t xml:space="preserve">-19 и необходимостта от оказване на навременна помощ в отговор на хуманитарните и социално-икономически предизвикателства в страните партньори. </w:t>
      </w:r>
      <w:r w:rsidR="004452D3">
        <w:rPr>
          <w:rFonts w:ascii="Cambria" w:hAnsi="Cambria"/>
        </w:rPr>
        <w:t xml:space="preserve">В </w:t>
      </w:r>
      <w:r w:rsidR="004452D3" w:rsidRPr="00716035">
        <w:rPr>
          <w:rFonts w:ascii="Cambria" w:hAnsi="Cambria"/>
        </w:rPr>
        <w:t xml:space="preserve">отговор на инициативата на Международния валутен фонд за облекчаване на дълга на около 30 слабо развити държави в контекста на борбата срещу пандемията от </w:t>
      </w:r>
      <w:r w:rsidR="004452D3" w:rsidRPr="00716035">
        <w:rPr>
          <w:rFonts w:ascii="Cambria" w:hAnsi="Cambria"/>
          <w:lang w:val="en-US"/>
        </w:rPr>
        <w:t>COVID</w:t>
      </w:r>
      <w:r w:rsidR="004452D3">
        <w:rPr>
          <w:rFonts w:ascii="Cambria" w:hAnsi="Cambria"/>
        </w:rPr>
        <w:t xml:space="preserve">-19, </w:t>
      </w:r>
      <w:r w:rsidR="000878A1" w:rsidRPr="00716035">
        <w:rPr>
          <w:rFonts w:ascii="Cambria" w:hAnsi="Cambria"/>
        </w:rPr>
        <w:t>България</w:t>
      </w:r>
      <w:r w:rsidR="004452D3">
        <w:rPr>
          <w:rFonts w:ascii="Cambria" w:hAnsi="Cambria"/>
        </w:rPr>
        <w:t xml:space="preserve"> взе решение да участва </w:t>
      </w:r>
      <w:r w:rsidR="000878A1" w:rsidRPr="00716035">
        <w:rPr>
          <w:rFonts w:ascii="Cambria" w:hAnsi="Cambria"/>
        </w:rPr>
        <w:t xml:space="preserve">в </w:t>
      </w:r>
      <w:r w:rsidR="000878A1" w:rsidRPr="00716035">
        <w:rPr>
          <w:rFonts w:ascii="Cambria" w:hAnsi="Cambria"/>
          <w:i/>
        </w:rPr>
        <w:t>Доверителния фонд на Международния валутен фонд за предотвратяване и ограничаване на щетите от бедствия</w:t>
      </w:r>
      <w:r w:rsidR="000878A1" w:rsidRPr="00716035">
        <w:rPr>
          <w:rFonts w:ascii="Cambria" w:hAnsi="Cambria"/>
        </w:rPr>
        <w:t xml:space="preserve"> с 1.9 млн. специални права на тираж, равняващи се на официална помощ за развитие на с</w:t>
      </w:r>
      <w:r w:rsidR="004452D3">
        <w:rPr>
          <w:rFonts w:ascii="Cambria" w:hAnsi="Cambria"/>
        </w:rPr>
        <w:t>тойност около 4.9 млн. лв.</w:t>
      </w:r>
    </w:p>
    <w:p w:rsidR="007D68D0" w:rsidRPr="00716035" w:rsidRDefault="007D68D0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</w:p>
    <w:p w:rsidR="00D905CC" w:rsidRPr="00716035" w:rsidRDefault="00D905CC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  <w:r w:rsidRPr="00716035">
        <w:rPr>
          <w:rFonts w:ascii="Cambria" w:hAnsi="Cambria" w:cs="Times New Roman"/>
          <w:b/>
          <w:iCs/>
          <w:color w:val="548DD4" w:themeColor="text2" w:themeTint="99"/>
        </w:rPr>
        <w:t xml:space="preserve">Участие на България във формирането на политики на ЕС и НАТО </w:t>
      </w:r>
    </w:p>
    <w:p w:rsidR="000878A1" w:rsidRPr="00716035" w:rsidRDefault="000878A1" w:rsidP="00716035">
      <w:pPr>
        <w:spacing w:after="0" w:line="240" w:lineRule="auto"/>
        <w:ind w:firstLine="288"/>
        <w:jc w:val="both"/>
        <w:rPr>
          <w:rFonts w:ascii="Cambria" w:hAnsi="Cambria"/>
          <w:bCs/>
        </w:rPr>
      </w:pPr>
      <w:r w:rsidRPr="00716035">
        <w:rPr>
          <w:rFonts w:ascii="Cambria" w:hAnsi="Cambria"/>
        </w:rPr>
        <w:t>Министерството на външните работи координирано и последователно осъществява всички дейности, допринасящи за реализиране на външнополитическите цели и приоритети</w:t>
      </w:r>
      <w:r w:rsidR="00524280">
        <w:rPr>
          <w:rFonts w:ascii="Cambria" w:hAnsi="Cambria"/>
        </w:rPr>
        <w:t xml:space="preserve"> на страната в Европейския съюз. </w:t>
      </w:r>
      <w:r w:rsidRPr="00716035">
        <w:rPr>
          <w:rFonts w:ascii="Cambria" w:hAnsi="Cambria"/>
          <w:bCs/>
        </w:rPr>
        <w:t>Извънредната и безпрецедентна ситуация, свързана с COVID-19, се отрази на начина на функциониране и на дневния ред на ЕС. Тя оказа влияние върху работата на Министерството</w:t>
      </w:r>
      <w:r w:rsidR="00524280">
        <w:rPr>
          <w:rFonts w:ascii="Cambria" w:hAnsi="Cambria"/>
          <w:bCs/>
        </w:rPr>
        <w:t>,</w:t>
      </w:r>
      <w:r w:rsidRPr="00716035">
        <w:rPr>
          <w:rFonts w:ascii="Cambria" w:hAnsi="Cambria"/>
          <w:bCs/>
        </w:rPr>
        <w:t xml:space="preserve"> както по отделните досиета в рамките на ЕС, така и в </w:t>
      </w:r>
      <w:r w:rsidR="00524280">
        <w:rPr>
          <w:rFonts w:ascii="Cambria" w:hAnsi="Cambria"/>
          <w:bCs/>
        </w:rPr>
        <w:t>контекста на общите усилия на Съюза</w:t>
      </w:r>
      <w:r w:rsidRPr="00716035">
        <w:rPr>
          <w:rFonts w:ascii="Cambria" w:hAnsi="Cambria"/>
          <w:bCs/>
        </w:rPr>
        <w:t xml:space="preserve"> за преодоляване на кризата в различните ѝ измерения. От ключово значение бе продължаването на работата на институциите, осигуряването на тяхното функциониране, в т.ч. на необходимата подготовка и легитимност на взетите решения. Кризата изведе на преден план необходимостта от координирани действия на държавите членки за справяне с пандемията и със социално-икономическите последици от нея. В своята работа Министерството на външните работи се ръководи от принципите на солидарност и недопускане задълбочаване на различията и създаване на нови разделения в ЕС. Основ</w:t>
      </w:r>
      <w:r w:rsidR="00524280">
        <w:rPr>
          <w:rFonts w:ascii="Cambria" w:hAnsi="Cambria"/>
          <w:bCs/>
        </w:rPr>
        <w:t xml:space="preserve">ен приоритет за страната ни бе </w:t>
      </w:r>
      <w:r w:rsidRPr="00716035">
        <w:rPr>
          <w:rFonts w:ascii="Cambria" w:hAnsi="Cambria"/>
          <w:bCs/>
        </w:rPr>
        <w:t xml:space="preserve">ЕС да остане единен и да излезе от кризата по-силен и по-подготвен. Определянето на съвместни мерки за справяне с пандемията от </w:t>
      </w:r>
      <w:r w:rsidRPr="00716035">
        <w:rPr>
          <w:rFonts w:ascii="Cambria" w:hAnsi="Cambria"/>
          <w:bCs/>
          <w:lang w:val="de-DE"/>
        </w:rPr>
        <w:t>COVID</w:t>
      </w:r>
      <w:r w:rsidRPr="00716035">
        <w:rPr>
          <w:rFonts w:ascii="Cambria" w:hAnsi="Cambria"/>
          <w:bCs/>
        </w:rPr>
        <w:t>-19, подобряването на координацията в ЕС и поставянето на основите за икономическо и социално възстановяване</w:t>
      </w:r>
      <w:r w:rsidR="009721AC">
        <w:rPr>
          <w:rFonts w:ascii="Cambria" w:hAnsi="Cambria"/>
          <w:bCs/>
        </w:rPr>
        <w:t>,</w:t>
      </w:r>
      <w:r w:rsidRPr="00716035">
        <w:rPr>
          <w:rFonts w:ascii="Cambria" w:hAnsi="Cambria"/>
          <w:bCs/>
        </w:rPr>
        <w:t xml:space="preserve"> е успех за целия ЕС.</w:t>
      </w:r>
      <w:r w:rsidR="00971D2A">
        <w:rPr>
          <w:rFonts w:ascii="Cambria" w:hAnsi="Cambria"/>
          <w:bCs/>
        </w:rPr>
        <w:t xml:space="preserve"> </w:t>
      </w:r>
    </w:p>
    <w:p w:rsidR="000878A1" w:rsidRPr="00716035" w:rsidRDefault="000878A1" w:rsidP="00716035">
      <w:pPr>
        <w:spacing w:after="0" w:line="240" w:lineRule="auto"/>
        <w:ind w:firstLine="288"/>
        <w:jc w:val="both"/>
        <w:rPr>
          <w:rFonts w:ascii="Cambria" w:hAnsi="Cambria"/>
        </w:rPr>
      </w:pPr>
      <w:r w:rsidRPr="00716035">
        <w:rPr>
          <w:rFonts w:ascii="Cambria" w:hAnsi="Cambria"/>
        </w:rPr>
        <w:t>В условията на глобална пандемия, България продължи активното си участие във формирането и осъществяването на политиките на НАТО за гарантиране на надеждно възпиране и отбрана. Основен фокус беше поставен върху оказването на подкрепа за усилията на национа</w:t>
      </w:r>
      <w:r w:rsidR="007B25B8">
        <w:rPr>
          <w:rFonts w:ascii="Cambria" w:hAnsi="Cambria"/>
        </w:rPr>
        <w:t>лните власти за справяне с</w:t>
      </w:r>
      <w:r w:rsidRPr="00716035">
        <w:rPr>
          <w:rFonts w:ascii="Cambria" w:hAnsi="Cambria"/>
        </w:rPr>
        <w:t xml:space="preserve"> пандемията чрез инструментите на НАТО. Бяха създадени допълнителни финансови механизми и фондове, като общият резерв от медицински материали и оборудване беше използван за оказване на съдействие на редица съюзници и партньори. Осъществена беше координация между МВнР и Съвместното командване на силите на МО за транспортирането на медицински материали от Китай със самолет </w:t>
      </w:r>
      <w:r w:rsidRPr="00716035">
        <w:rPr>
          <w:rFonts w:ascii="Cambria" w:hAnsi="Cambria"/>
          <w:lang w:val="en-US"/>
        </w:rPr>
        <w:t>C</w:t>
      </w:r>
      <w:r w:rsidRPr="00716035">
        <w:rPr>
          <w:rFonts w:ascii="Cambria" w:hAnsi="Cambria"/>
        </w:rPr>
        <w:t xml:space="preserve">-17 </w:t>
      </w:r>
      <w:r w:rsidRPr="00716035">
        <w:rPr>
          <w:rFonts w:ascii="Cambria" w:hAnsi="Cambria"/>
          <w:lang w:val="en-US"/>
        </w:rPr>
        <w:t>o</w:t>
      </w:r>
      <w:r w:rsidRPr="00716035">
        <w:rPr>
          <w:rFonts w:ascii="Cambria" w:hAnsi="Cambria"/>
        </w:rPr>
        <w:t xml:space="preserve">т ескадрилата на НАТО. </w:t>
      </w:r>
    </w:p>
    <w:p w:rsidR="000878A1" w:rsidRPr="00716035" w:rsidRDefault="009721AC" w:rsidP="00716035">
      <w:pPr>
        <w:spacing w:after="0" w:line="240" w:lineRule="auto"/>
        <w:ind w:firstLine="288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А</w:t>
      </w:r>
      <w:r w:rsidR="000878A1" w:rsidRPr="00716035">
        <w:rPr>
          <w:rFonts w:ascii="Cambria" w:hAnsi="Cambria"/>
          <w:bCs/>
        </w:rPr>
        <w:t xml:space="preserve">кцент беше поставен върху подготовката на българското участие в редовните срещи на министрите на външните работи на страните-членки на НАТО, както и в Мюнхенската конференция по сигурността. България продължи да отстоява националните си интереси и приоритети, с фокус върху засилването на отбранителния и сдържащ потенциал на Алианса, сигурността в Черно море, евроатлантическата интеграция на страните от Западните Балкани, укрепването на политическия диалог и практическото сътрудничество със страни-партньори. </w:t>
      </w:r>
    </w:p>
    <w:p w:rsidR="00D905CC" w:rsidRPr="00716035" w:rsidRDefault="000878A1" w:rsidP="00716035">
      <w:pPr>
        <w:spacing w:after="0" w:line="240" w:lineRule="auto"/>
        <w:ind w:firstLine="288"/>
        <w:jc w:val="both"/>
        <w:rPr>
          <w:rFonts w:ascii="Cambria" w:hAnsi="Cambria"/>
        </w:rPr>
      </w:pPr>
      <w:r w:rsidRPr="00716035">
        <w:rPr>
          <w:rFonts w:ascii="Cambria" w:hAnsi="Cambria"/>
          <w:bCs/>
        </w:rPr>
        <w:t>Текущите дейности включваха изготвянето на позиции и изпращането на указания до Постоянната делегация на Република България към НАТО. Бяха предоставени материали за редица посещения и срещи</w:t>
      </w:r>
      <w:r w:rsidRPr="00716035">
        <w:rPr>
          <w:rFonts w:ascii="Cambria" w:hAnsi="Cambria"/>
        </w:rPr>
        <w:t>.</w:t>
      </w:r>
    </w:p>
    <w:p w:rsidR="000878A1" w:rsidRPr="00716035" w:rsidRDefault="000878A1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92D050"/>
        </w:rPr>
      </w:pPr>
    </w:p>
    <w:p w:rsidR="00D905CC" w:rsidRPr="00716035" w:rsidRDefault="00D905CC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  <w:r w:rsidRPr="00716035">
        <w:rPr>
          <w:rFonts w:ascii="Cambria" w:hAnsi="Cambria" w:cs="Times New Roman"/>
          <w:b/>
          <w:iCs/>
          <w:color w:val="548DD4" w:themeColor="text2" w:themeTint="99"/>
        </w:rPr>
        <w:t>Активни и прагматични двустранни отношения</w:t>
      </w:r>
    </w:p>
    <w:p w:rsidR="000878A1" w:rsidRPr="00716035" w:rsidRDefault="000878A1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Cambria" w:hAnsi="Cambria"/>
        </w:rPr>
      </w:pPr>
      <w:r w:rsidRPr="00716035">
        <w:rPr>
          <w:rFonts w:ascii="Cambria" w:hAnsi="Cambria"/>
        </w:rPr>
        <w:t>През 2020 г. България продължи своята последователна политика в подкрепа на европейската интеграция на страните от Западните Балкани. МВнР стриктно отстояваше националната Рамкова позиция относно разширяването на ЕС. В рамките на дискусиите в ЕС и в двустранен план</w:t>
      </w:r>
      <w:r w:rsidR="00A91ABA">
        <w:rPr>
          <w:rFonts w:ascii="Cambria" w:hAnsi="Cambria"/>
        </w:rPr>
        <w:t>,</w:t>
      </w:r>
      <w:r w:rsidRPr="00716035">
        <w:rPr>
          <w:rFonts w:ascii="Cambria" w:hAnsi="Cambria"/>
        </w:rPr>
        <w:t xml:space="preserve"> България не отстъпи от своята позиция и защити националния си интерес. МВнР вложи съществени усилия в разясняването на националната позиция пред държавите членки и институциите на ЕС.</w:t>
      </w:r>
    </w:p>
    <w:p w:rsidR="000878A1" w:rsidRDefault="000878A1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Cambria" w:hAnsi="Cambria"/>
        </w:rPr>
      </w:pPr>
      <w:r w:rsidRPr="00716035">
        <w:rPr>
          <w:rFonts w:ascii="Cambria" w:hAnsi="Cambria"/>
        </w:rPr>
        <w:t xml:space="preserve">През отчетния период, МВнР продължи последователните си усилия за утвърждаване и възходящо развитие на стратегическото партньорство на България със САЩ. На 8 януари 2020 г. в София се проведе първата сесия на новоучредения редовен Стратегически диалог България – САЩ. В рамките на първата сесия бяха обсъдени широк кръг от въпроси, сред които напредъка на България в процеса на присъединяване към Програмата на САЩ за безвизови пътувания, кандидатурата ни за членство в ОИСР и перспективите за сключване на двустранно Споразумение за социална сигурност. </w:t>
      </w:r>
    </w:p>
    <w:p w:rsidR="00585129" w:rsidRDefault="00585129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Cambria" w:hAnsi="Cambria"/>
        </w:rPr>
      </w:pPr>
      <w:r w:rsidRPr="00585129">
        <w:rPr>
          <w:rFonts w:ascii="Cambria" w:hAnsi="Cambria"/>
        </w:rPr>
        <w:t>През 2020 г. страните от Източното съседство продължиха  да бъдат в центъра на вниманието МВнР. В най-голяма степен това се отнасяше за Украйна, предвид продължаващата криза и наличието в страната на най-голямата българска историческа общност зад граница.</w:t>
      </w:r>
    </w:p>
    <w:p w:rsidR="00585129" w:rsidRPr="00716035" w:rsidRDefault="00585129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Cambria" w:hAnsi="Cambria"/>
        </w:rPr>
      </w:pPr>
      <w:r w:rsidRPr="00585129">
        <w:rPr>
          <w:rFonts w:ascii="Cambria" w:hAnsi="Cambria"/>
        </w:rPr>
        <w:t>Регионът на Близкия изток и Африка традиционно е във фокуса на българската външна политика. Мащабните ограничения, породени от COVID-19, наложиха отлагането на редица потвърдени двустранни и международни събития или провеждането им във виртуален формат. Въпреки трудностите, интензивността на диалога с голяма част от партньорите в Близкия изток и Африка бе в значителна степен запазена.</w:t>
      </w:r>
    </w:p>
    <w:p w:rsidR="00EE540D" w:rsidRDefault="00EE540D" w:rsidP="00EE540D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Cambria" w:hAnsi="Cambria"/>
        </w:rPr>
      </w:pPr>
      <w:r w:rsidRPr="00716035">
        <w:rPr>
          <w:rFonts w:ascii="Cambria" w:hAnsi="Cambria"/>
        </w:rPr>
        <w:t>През 2020 г. МВнР продължи да работи за развитието на  двустранните отношения със страните от Азиатско-тихоокеанския регион (АТР), в т.ч. с четирите страни, стратегически партньори на ЕС (Китай, Япония, Индия и Р Корея) и членове на важни регионални и международни организации и формации (СС на ООН, Г7, Г20, БРИКС, АСЕАН, АПЕК, АСЕМ, ШОС и др.). Сред водещите теми бе осигуряването на медицински изделия и продукти, необходими в усилията за ограничаване на разпространението и лечение на COVID-19.</w:t>
      </w:r>
    </w:p>
    <w:p w:rsidR="00D905CC" w:rsidRPr="00716035" w:rsidRDefault="00D905CC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</w:p>
    <w:p w:rsidR="00B755E2" w:rsidRPr="00716035" w:rsidRDefault="00D905CC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  <w:r w:rsidRPr="00716035">
        <w:rPr>
          <w:rFonts w:ascii="Cambria" w:hAnsi="Cambria" w:cs="Times New Roman"/>
          <w:b/>
          <w:iCs/>
          <w:color w:val="548DD4" w:themeColor="text2" w:themeTint="99"/>
        </w:rPr>
        <w:t>Дейност на България в глобални и регионални международни организации и други многостранни формати</w:t>
      </w:r>
    </w:p>
    <w:p w:rsidR="00395344" w:rsidRPr="00716035" w:rsidRDefault="0075186B" w:rsidP="00716035">
      <w:pPr>
        <w:spacing w:after="0" w:line="240" w:lineRule="auto"/>
        <w:ind w:firstLine="284"/>
        <w:jc w:val="both"/>
        <w:rPr>
          <w:rFonts w:ascii="Cambria" w:hAnsi="Cambria"/>
        </w:rPr>
      </w:pPr>
      <w:r w:rsidRPr="00716035">
        <w:rPr>
          <w:rFonts w:ascii="Cambria" w:hAnsi="Cambria"/>
        </w:rPr>
        <w:t xml:space="preserve">През 2020 г. продължи дейността по осигуряване на подкрепа на кандидатурата на Република България за непостоянен член на Съвет за сигурност на ООН за периода 2038-2039 г. </w:t>
      </w:r>
      <w:r w:rsidR="00395344" w:rsidRPr="00716035">
        <w:rPr>
          <w:rFonts w:ascii="Cambria" w:hAnsi="Cambria"/>
        </w:rPr>
        <w:t xml:space="preserve">През 2020 г. България навлезе във втората година от членството си в Съвета по правата на човека (СПЧ). В рамките на годината бяха проведени три сесии - 43-та, 44-та и 45-та сесия, съответно през месеците март, юни и септември 2020 г. </w:t>
      </w:r>
    </w:p>
    <w:p w:rsidR="007D68D0" w:rsidRPr="00716035" w:rsidRDefault="007D68D0" w:rsidP="0071603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:rsidR="00C07BA7" w:rsidRPr="00716035" w:rsidRDefault="00C07BA7" w:rsidP="00716035">
      <w:pPr>
        <w:spacing w:after="0" w:line="240" w:lineRule="auto"/>
        <w:jc w:val="both"/>
        <w:rPr>
          <w:rFonts w:ascii="Cambria" w:hAnsi="Cambria" w:cs="Times New Roman"/>
          <w:b/>
          <w:iCs/>
          <w:color w:val="548DD4" w:themeColor="text2" w:themeTint="99"/>
        </w:rPr>
      </w:pPr>
    </w:p>
    <w:sectPr w:rsidR="00C07BA7" w:rsidRPr="00716035" w:rsidSect="00911F44">
      <w:footerReference w:type="default" r:id="rId8"/>
      <w:pgSz w:w="11906" w:h="16838"/>
      <w:pgMar w:top="1276" w:right="1417" w:bottom="1417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D89" w:rsidRDefault="00C34D89" w:rsidP="00CF54A3">
      <w:pPr>
        <w:spacing w:after="0" w:line="240" w:lineRule="auto"/>
      </w:pPr>
      <w:r>
        <w:separator/>
      </w:r>
    </w:p>
  </w:endnote>
  <w:endnote w:type="continuationSeparator" w:id="0">
    <w:p w:rsidR="00C34D89" w:rsidRDefault="00C34D89" w:rsidP="00CF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2761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54A3" w:rsidRDefault="00CF54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40C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F54A3" w:rsidRDefault="00CF54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D89" w:rsidRDefault="00C34D89" w:rsidP="00CF54A3">
      <w:pPr>
        <w:spacing w:after="0" w:line="240" w:lineRule="auto"/>
      </w:pPr>
      <w:r>
        <w:separator/>
      </w:r>
    </w:p>
  </w:footnote>
  <w:footnote w:type="continuationSeparator" w:id="0">
    <w:p w:rsidR="00C34D89" w:rsidRDefault="00C34D89" w:rsidP="00CF5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8B9"/>
    <w:multiLevelType w:val="hybridMultilevel"/>
    <w:tmpl w:val="C2A0F4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40FA5"/>
    <w:multiLevelType w:val="hybridMultilevel"/>
    <w:tmpl w:val="1EC49BDC"/>
    <w:lvl w:ilvl="0" w:tplc="FF200B2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D3D6772"/>
    <w:multiLevelType w:val="hybridMultilevel"/>
    <w:tmpl w:val="3A44A620"/>
    <w:lvl w:ilvl="0" w:tplc="75967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43354"/>
    <w:multiLevelType w:val="hybridMultilevel"/>
    <w:tmpl w:val="D6BA17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F34B5"/>
    <w:multiLevelType w:val="hybridMultilevel"/>
    <w:tmpl w:val="77800776"/>
    <w:lvl w:ilvl="0" w:tplc="02EEDA7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E012A"/>
    <w:multiLevelType w:val="multilevel"/>
    <w:tmpl w:val="527E392E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0DF78BB"/>
    <w:multiLevelType w:val="hybridMultilevel"/>
    <w:tmpl w:val="F4E0BAB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C43F9"/>
    <w:multiLevelType w:val="hybridMultilevel"/>
    <w:tmpl w:val="D79E67A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464C70"/>
    <w:multiLevelType w:val="hybridMultilevel"/>
    <w:tmpl w:val="660A1B7A"/>
    <w:lvl w:ilvl="0" w:tplc="75967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B079A"/>
    <w:multiLevelType w:val="hybridMultilevel"/>
    <w:tmpl w:val="484CE4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3335D"/>
    <w:multiLevelType w:val="hybridMultilevel"/>
    <w:tmpl w:val="429AA376"/>
    <w:lvl w:ilvl="0" w:tplc="BD40FBA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3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9"/>
    </w:lvlOverride>
  </w:num>
  <w:num w:numId="10">
    <w:abstractNumId w:val="2"/>
  </w:num>
  <w:num w:numId="11">
    <w:abstractNumId w:val="8"/>
  </w:num>
  <w:num w:numId="12">
    <w:abstractNumId w:val="9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82"/>
    <w:rsid w:val="00020ECE"/>
    <w:rsid w:val="00022267"/>
    <w:rsid w:val="00044170"/>
    <w:rsid w:val="00045F0D"/>
    <w:rsid w:val="000612CC"/>
    <w:rsid w:val="00063B03"/>
    <w:rsid w:val="000878A1"/>
    <w:rsid w:val="00091C5B"/>
    <w:rsid w:val="000929B7"/>
    <w:rsid w:val="00092FF7"/>
    <w:rsid w:val="000A0E83"/>
    <w:rsid w:val="000A695A"/>
    <w:rsid w:val="000A6DB4"/>
    <w:rsid w:val="000C1FCF"/>
    <w:rsid w:val="000C6685"/>
    <w:rsid w:val="000C73E2"/>
    <w:rsid w:val="000E557D"/>
    <w:rsid w:val="000F37EB"/>
    <w:rsid w:val="00101CAD"/>
    <w:rsid w:val="0010575E"/>
    <w:rsid w:val="001102D0"/>
    <w:rsid w:val="00117E40"/>
    <w:rsid w:val="001210D8"/>
    <w:rsid w:val="001221E4"/>
    <w:rsid w:val="00124D91"/>
    <w:rsid w:val="00125355"/>
    <w:rsid w:val="0013362F"/>
    <w:rsid w:val="00157D1C"/>
    <w:rsid w:val="0016771B"/>
    <w:rsid w:val="00191852"/>
    <w:rsid w:val="001A02B6"/>
    <w:rsid w:val="001A6EE1"/>
    <w:rsid w:val="001A7F79"/>
    <w:rsid w:val="001B3EB4"/>
    <w:rsid w:val="001B68B2"/>
    <w:rsid w:val="001C4D4E"/>
    <w:rsid w:val="00202473"/>
    <w:rsid w:val="002058F9"/>
    <w:rsid w:val="0021141E"/>
    <w:rsid w:val="00212C89"/>
    <w:rsid w:val="0021648C"/>
    <w:rsid w:val="00223EEC"/>
    <w:rsid w:val="00226583"/>
    <w:rsid w:val="00230093"/>
    <w:rsid w:val="00235BF0"/>
    <w:rsid w:val="00244AB7"/>
    <w:rsid w:val="002475FE"/>
    <w:rsid w:val="00251072"/>
    <w:rsid w:val="00251209"/>
    <w:rsid w:val="00257B22"/>
    <w:rsid w:val="00281262"/>
    <w:rsid w:val="002814EC"/>
    <w:rsid w:val="002933BE"/>
    <w:rsid w:val="002A35CC"/>
    <w:rsid w:val="002C0885"/>
    <w:rsid w:val="002E363C"/>
    <w:rsid w:val="002F17B0"/>
    <w:rsid w:val="0030176A"/>
    <w:rsid w:val="0030337C"/>
    <w:rsid w:val="00310EFB"/>
    <w:rsid w:val="00313CC3"/>
    <w:rsid w:val="00315D42"/>
    <w:rsid w:val="00320AF9"/>
    <w:rsid w:val="0032516B"/>
    <w:rsid w:val="00355582"/>
    <w:rsid w:val="00355FCC"/>
    <w:rsid w:val="0037006C"/>
    <w:rsid w:val="00385656"/>
    <w:rsid w:val="00395344"/>
    <w:rsid w:val="003A3523"/>
    <w:rsid w:val="003B1A85"/>
    <w:rsid w:val="003D3327"/>
    <w:rsid w:val="003E247C"/>
    <w:rsid w:val="00400229"/>
    <w:rsid w:val="00430152"/>
    <w:rsid w:val="004403C2"/>
    <w:rsid w:val="004452D3"/>
    <w:rsid w:val="004571FD"/>
    <w:rsid w:val="00460D4D"/>
    <w:rsid w:val="004714B7"/>
    <w:rsid w:val="004718D8"/>
    <w:rsid w:val="00486511"/>
    <w:rsid w:val="00497493"/>
    <w:rsid w:val="004A4590"/>
    <w:rsid w:val="004A4890"/>
    <w:rsid w:val="004B015A"/>
    <w:rsid w:val="004B4580"/>
    <w:rsid w:val="004C2DE9"/>
    <w:rsid w:val="004C4EF3"/>
    <w:rsid w:val="004C5B58"/>
    <w:rsid w:val="004C5BE9"/>
    <w:rsid w:val="004E6549"/>
    <w:rsid w:val="0050131E"/>
    <w:rsid w:val="0051757E"/>
    <w:rsid w:val="00524280"/>
    <w:rsid w:val="005678F7"/>
    <w:rsid w:val="0058045B"/>
    <w:rsid w:val="00582B51"/>
    <w:rsid w:val="00585129"/>
    <w:rsid w:val="005915E5"/>
    <w:rsid w:val="005A20B8"/>
    <w:rsid w:val="005B16FE"/>
    <w:rsid w:val="005D33A0"/>
    <w:rsid w:val="005E672A"/>
    <w:rsid w:val="005E7B3C"/>
    <w:rsid w:val="00601DF8"/>
    <w:rsid w:val="006163F5"/>
    <w:rsid w:val="00623381"/>
    <w:rsid w:val="00627931"/>
    <w:rsid w:val="00636F1F"/>
    <w:rsid w:val="00655DF5"/>
    <w:rsid w:val="0066565F"/>
    <w:rsid w:val="006736E4"/>
    <w:rsid w:val="00677D82"/>
    <w:rsid w:val="006A408D"/>
    <w:rsid w:val="006C1940"/>
    <w:rsid w:val="006C4334"/>
    <w:rsid w:val="006D015E"/>
    <w:rsid w:val="006E6336"/>
    <w:rsid w:val="006E6BC8"/>
    <w:rsid w:val="006F09B6"/>
    <w:rsid w:val="006F29B0"/>
    <w:rsid w:val="006F70FF"/>
    <w:rsid w:val="00700CCF"/>
    <w:rsid w:val="0070223E"/>
    <w:rsid w:val="00703084"/>
    <w:rsid w:val="00703B68"/>
    <w:rsid w:val="00705F9D"/>
    <w:rsid w:val="00714758"/>
    <w:rsid w:val="00716035"/>
    <w:rsid w:val="00721A70"/>
    <w:rsid w:val="0073242F"/>
    <w:rsid w:val="00733BDA"/>
    <w:rsid w:val="00737E42"/>
    <w:rsid w:val="007448F5"/>
    <w:rsid w:val="0075186B"/>
    <w:rsid w:val="007537B3"/>
    <w:rsid w:val="00756B0A"/>
    <w:rsid w:val="00760BC2"/>
    <w:rsid w:val="00760E36"/>
    <w:rsid w:val="00766A55"/>
    <w:rsid w:val="007740D7"/>
    <w:rsid w:val="00785182"/>
    <w:rsid w:val="0079620E"/>
    <w:rsid w:val="007B25B8"/>
    <w:rsid w:val="007B346C"/>
    <w:rsid w:val="007B6528"/>
    <w:rsid w:val="007C628B"/>
    <w:rsid w:val="007D5DEC"/>
    <w:rsid w:val="007D68D0"/>
    <w:rsid w:val="008114F1"/>
    <w:rsid w:val="00812B10"/>
    <w:rsid w:val="00816F4D"/>
    <w:rsid w:val="00834997"/>
    <w:rsid w:val="00850EBA"/>
    <w:rsid w:val="00880B7B"/>
    <w:rsid w:val="00885450"/>
    <w:rsid w:val="00892829"/>
    <w:rsid w:val="008928AF"/>
    <w:rsid w:val="00893030"/>
    <w:rsid w:val="008A029A"/>
    <w:rsid w:val="008A2304"/>
    <w:rsid w:val="008B15B4"/>
    <w:rsid w:val="008B3BAB"/>
    <w:rsid w:val="008B4CD2"/>
    <w:rsid w:val="008B74F5"/>
    <w:rsid w:val="008C16C3"/>
    <w:rsid w:val="008D2C3B"/>
    <w:rsid w:val="008F199A"/>
    <w:rsid w:val="009026C4"/>
    <w:rsid w:val="009032DF"/>
    <w:rsid w:val="00904193"/>
    <w:rsid w:val="00905135"/>
    <w:rsid w:val="00911F44"/>
    <w:rsid w:val="00914492"/>
    <w:rsid w:val="009145D6"/>
    <w:rsid w:val="009246B0"/>
    <w:rsid w:val="00927519"/>
    <w:rsid w:val="00927604"/>
    <w:rsid w:val="00951346"/>
    <w:rsid w:val="00962D16"/>
    <w:rsid w:val="00971D2A"/>
    <w:rsid w:val="009721AC"/>
    <w:rsid w:val="009740C3"/>
    <w:rsid w:val="009754CB"/>
    <w:rsid w:val="00991919"/>
    <w:rsid w:val="0099359E"/>
    <w:rsid w:val="009A7122"/>
    <w:rsid w:val="009D02D9"/>
    <w:rsid w:val="009D0620"/>
    <w:rsid w:val="00A04A9E"/>
    <w:rsid w:val="00A13609"/>
    <w:rsid w:val="00A21989"/>
    <w:rsid w:val="00A23258"/>
    <w:rsid w:val="00A32220"/>
    <w:rsid w:val="00A50D68"/>
    <w:rsid w:val="00A51C76"/>
    <w:rsid w:val="00A5210F"/>
    <w:rsid w:val="00A60AA2"/>
    <w:rsid w:val="00A73BCB"/>
    <w:rsid w:val="00A81DD4"/>
    <w:rsid w:val="00A91ABA"/>
    <w:rsid w:val="00AB399C"/>
    <w:rsid w:val="00AB51FD"/>
    <w:rsid w:val="00AB5328"/>
    <w:rsid w:val="00AD1A7E"/>
    <w:rsid w:val="00AD6F15"/>
    <w:rsid w:val="00AE0B4B"/>
    <w:rsid w:val="00B01068"/>
    <w:rsid w:val="00B10B1B"/>
    <w:rsid w:val="00B10BB8"/>
    <w:rsid w:val="00B4524E"/>
    <w:rsid w:val="00B55D0F"/>
    <w:rsid w:val="00B707A0"/>
    <w:rsid w:val="00B740F1"/>
    <w:rsid w:val="00B755E2"/>
    <w:rsid w:val="00B76FD3"/>
    <w:rsid w:val="00B819FF"/>
    <w:rsid w:val="00B828BD"/>
    <w:rsid w:val="00B96CC1"/>
    <w:rsid w:val="00BA0712"/>
    <w:rsid w:val="00BB1312"/>
    <w:rsid w:val="00BB5A29"/>
    <w:rsid w:val="00BC3477"/>
    <w:rsid w:val="00BD708C"/>
    <w:rsid w:val="00BD7701"/>
    <w:rsid w:val="00BD78D3"/>
    <w:rsid w:val="00BF28B6"/>
    <w:rsid w:val="00BF50A1"/>
    <w:rsid w:val="00BF64B3"/>
    <w:rsid w:val="00C031A7"/>
    <w:rsid w:val="00C05180"/>
    <w:rsid w:val="00C07BA7"/>
    <w:rsid w:val="00C131A1"/>
    <w:rsid w:val="00C147D7"/>
    <w:rsid w:val="00C206DF"/>
    <w:rsid w:val="00C2390B"/>
    <w:rsid w:val="00C264F0"/>
    <w:rsid w:val="00C2657E"/>
    <w:rsid w:val="00C32C91"/>
    <w:rsid w:val="00C34D89"/>
    <w:rsid w:val="00C4743A"/>
    <w:rsid w:val="00C57C51"/>
    <w:rsid w:val="00CA2B5A"/>
    <w:rsid w:val="00CA3EA0"/>
    <w:rsid w:val="00CB17AA"/>
    <w:rsid w:val="00CB2416"/>
    <w:rsid w:val="00CD0FD0"/>
    <w:rsid w:val="00CD313A"/>
    <w:rsid w:val="00CD3E8F"/>
    <w:rsid w:val="00CE5267"/>
    <w:rsid w:val="00CE528E"/>
    <w:rsid w:val="00CF3CCC"/>
    <w:rsid w:val="00CF54A3"/>
    <w:rsid w:val="00CF6B20"/>
    <w:rsid w:val="00D018B0"/>
    <w:rsid w:val="00D03186"/>
    <w:rsid w:val="00D51AEB"/>
    <w:rsid w:val="00D545AA"/>
    <w:rsid w:val="00D61887"/>
    <w:rsid w:val="00D7312D"/>
    <w:rsid w:val="00D905CC"/>
    <w:rsid w:val="00D97AE7"/>
    <w:rsid w:val="00DA2C34"/>
    <w:rsid w:val="00DA7D34"/>
    <w:rsid w:val="00DB0CA6"/>
    <w:rsid w:val="00DB30DF"/>
    <w:rsid w:val="00DB3BDE"/>
    <w:rsid w:val="00DB7021"/>
    <w:rsid w:val="00DB7E31"/>
    <w:rsid w:val="00DC02F3"/>
    <w:rsid w:val="00DD0946"/>
    <w:rsid w:val="00DD0D8E"/>
    <w:rsid w:val="00DD2ABE"/>
    <w:rsid w:val="00DD5F56"/>
    <w:rsid w:val="00DE2D45"/>
    <w:rsid w:val="00E0193C"/>
    <w:rsid w:val="00E04796"/>
    <w:rsid w:val="00E06CD3"/>
    <w:rsid w:val="00E11C09"/>
    <w:rsid w:val="00E25801"/>
    <w:rsid w:val="00E27C8F"/>
    <w:rsid w:val="00E319B2"/>
    <w:rsid w:val="00E32E50"/>
    <w:rsid w:val="00E42F90"/>
    <w:rsid w:val="00E52DA2"/>
    <w:rsid w:val="00E554DB"/>
    <w:rsid w:val="00E67187"/>
    <w:rsid w:val="00E73CB1"/>
    <w:rsid w:val="00EA2A29"/>
    <w:rsid w:val="00EC066D"/>
    <w:rsid w:val="00EC7279"/>
    <w:rsid w:val="00ED6003"/>
    <w:rsid w:val="00EE14A9"/>
    <w:rsid w:val="00EE2A26"/>
    <w:rsid w:val="00EE32B5"/>
    <w:rsid w:val="00EE540D"/>
    <w:rsid w:val="00EE63D7"/>
    <w:rsid w:val="00EF0F03"/>
    <w:rsid w:val="00F16FE2"/>
    <w:rsid w:val="00F17B9A"/>
    <w:rsid w:val="00F22561"/>
    <w:rsid w:val="00F37763"/>
    <w:rsid w:val="00F60FBE"/>
    <w:rsid w:val="00F67809"/>
    <w:rsid w:val="00F81CAC"/>
    <w:rsid w:val="00FA662D"/>
    <w:rsid w:val="00FB60AD"/>
    <w:rsid w:val="00FC2875"/>
    <w:rsid w:val="00FD63CB"/>
    <w:rsid w:val="00FE1350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A00FB"/>
  <w15:docId w15:val="{AAD36A4E-40D6-4CF9-8A5A-3BB27457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4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Recommendation,List Paragraph11,Bulleted Para,NFP GP Bulleted List,FooterText,numbered,Paragraphe de liste1,Bulletr List Paragraph,列出段落,列出段落1,List Paragraph2,List Paragraph21,Listeafsnit1,Parágrafo da Lista1,リスト段落1,L,CV t"/>
    <w:basedOn w:val="Normal"/>
    <w:link w:val="ListParagraphChar"/>
    <w:uiPriority w:val="34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customStyle="1" w:styleId="ListParagraphChar">
    <w:name w:val="List Paragraph Char"/>
    <w:aliases w:val="List Paragraph1 Char,Recommendation Char,List Paragraph11 Char,Bulleted Para Char,NFP GP Bulleted List Char,FooterText Char,numbered Char,Paragraphe de liste1 Char,Bulletr List Paragraph Char,列出段落 Char,列出段落1 Char,List Paragraph2 Char"/>
    <w:basedOn w:val="DefaultParagraphFont"/>
    <w:link w:val="ListParagraph"/>
    <w:uiPriority w:val="34"/>
    <w:qFormat/>
    <w:rsid w:val="00A32220"/>
  </w:style>
  <w:style w:type="paragraph" w:styleId="BalloonText">
    <w:name w:val="Balloon Text"/>
    <w:basedOn w:val="Normal"/>
    <w:link w:val="BalloonTextChar"/>
    <w:uiPriority w:val="99"/>
    <w:semiHidden/>
    <w:unhideWhenUsed/>
    <w:rsid w:val="004C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D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A3"/>
  </w:style>
  <w:style w:type="paragraph" w:styleId="Footer">
    <w:name w:val="footer"/>
    <w:basedOn w:val="Normal"/>
    <w:link w:val="FooterChar"/>
    <w:uiPriority w:val="99"/>
    <w:unhideWhenUsed/>
    <w:rsid w:val="00CF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A3"/>
  </w:style>
  <w:style w:type="character" w:styleId="CommentReference">
    <w:name w:val="annotation reference"/>
    <w:basedOn w:val="DefaultParagraphFont"/>
    <w:uiPriority w:val="99"/>
    <w:semiHidden/>
    <w:unhideWhenUsed/>
    <w:rsid w:val="00EE6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3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3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3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3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7E31"/>
    <w:pPr>
      <w:spacing w:after="0" w:line="240" w:lineRule="auto"/>
    </w:pPr>
  </w:style>
  <w:style w:type="table" w:styleId="TableGrid">
    <w:name w:val="Table Grid"/>
    <w:basedOn w:val="TableNormal"/>
    <w:uiPriority w:val="59"/>
    <w:rsid w:val="0081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link w:val="textChar"/>
    <w:qFormat/>
    <w:rsid w:val="007B346C"/>
    <w:pPr>
      <w:spacing w:after="12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textChar">
    <w:name w:val="text Char"/>
    <w:link w:val="text"/>
    <w:rsid w:val="007B346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4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Body">
    <w:name w:val="Body"/>
    <w:rsid w:val="007D68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bg-BG"/>
    </w:rPr>
  </w:style>
  <w:style w:type="paragraph" w:styleId="NoSpacing">
    <w:name w:val="No Spacing"/>
    <w:uiPriority w:val="1"/>
    <w:qFormat/>
    <w:rsid w:val="008854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4EBEB-0060-4592-8A90-9A0D330F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4521</Words>
  <Characters>25776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Емил Нургалиев</dc:creator>
  <cp:lastModifiedBy>Anna Georgieva</cp:lastModifiedBy>
  <cp:revision>57</cp:revision>
  <cp:lastPrinted>2018-10-10T12:52:00Z</cp:lastPrinted>
  <dcterms:created xsi:type="dcterms:W3CDTF">2021-04-16T07:44:00Z</dcterms:created>
  <dcterms:modified xsi:type="dcterms:W3CDTF">2021-04-20T15:45:00Z</dcterms:modified>
</cp:coreProperties>
</file>